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5A52E07E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177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 xml:space="preserve">20     </w:t>
      </w:r>
      <w:r w:rsidR="008B63D7">
        <w:rPr>
          <w:b/>
          <w:noProof/>
          <w:sz w:val="24"/>
          <w:lang w:val="en-US"/>
        </w:rPr>
        <w:t xml:space="preserve">                              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6250A5">
        <w:rPr>
          <w:b/>
          <w:noProof/>
          <w:sz w:val="24"/>
          <w:lang w:val="en-US"/>
        </w:rPr>
        <w:t>3</w:t>
      </w:r>
      <w:r w:rsidR="00705A59">
        <w:rPr>
          <w:b/>
          <w:noProof/>
          <w:sz w:val="24"/>
          <w:lang w:val="en-US"/>
        </w:rPr>
        <w:t>2766</w:t>
      </w:r>
    </w:p>
    <w:p w14:paraId="351CA33D" w14:textId="55E8D370" w:rsidR="00347001" w:rsidRPr="002D2634" w:rsidRDefault="00075A9D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Incheon, Korea</w:t>
      </w:r>
      <w:r w:rsidR="00CE67EE">
        <w:rPr>
          <w:rFonts w:ascii="Arial" w:eastAsia="MS Mincho" w:hAnsi="Arial"/>
          <w:b/>
          <w:noProof/>
          <w:sz w:val="24"/>
        </w:rPr>
        <w:t xml:space="preserve">, </w:t>
      </w:r>
      <w:r w:rsidR="00011189">
        <w:rPr>
          <w:rFonts w:ascii="Arial" w:eastAsia="MS Mincho" w:hAnsi="Arial"/>
          <w:b/>
          <w:noProof/>
          <w:sz w:val="24"/>
        </w:rPr>
        <w:t>May</w:t>
      </w:r>
      <w:r w:rsidR="00CE67EE">
        <w:rPr>
          <w:rFonts w:ascii="Arial" w:eastAsia="MS Mincho" w:hAnsi="Arial"/>
          <w:b/>
          <w:noProof/>
          <w:sz w:val="24"/>
        </w:rPr>
        <w:t xml:space="preserve"> </w:t>
      </w:r>
      <w:r w:rsidR="00011189">
        <w:rPr>
          <w:rFonts w:ascii="Arial" w:eastAsia="MS Mincho" w:hAnsi="Arial"/>
          <w:b/>
          <w:noProof/>
          <w:sz w:val="24"/>
        </w:rPr>
        <w:t>22</w:t>
      </w:r>
      <w:r w:rsidR="00CE67EE">
        <w:rPr>
          <w:rFonts w:ascii="Arial" w:eastAsia="MS Mincho" w:hAnsi="Arial"/>
          <w:b/>
          <w:noProof/>
          <w:sz w:val="24"/>
        </w:rPr>
        <w:t xml:space="preserve"> – 26, 2023                                      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62C030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F9FB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C47A66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4D9A41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80F5E">
        <w:rPr>
          <w:rFonts w:ascii="Arial" w:hAnsi="Arial"/>
          <w:sz w:val="24"/>
        </w:rPr>
        <w:t>Topology adaptation for</w:t>
      </w:r>
      <w:r w:rsidR="00AE7935">
        <w:rPr>
          <w:rFonts w:ascii="Arial" w:hAnsi="Arial"/>
          <w:sz w:val="24"/>
        </w:rPr>
        <w:t xml:space="preserve"> mobile</w:t>
      </w:r>
      <w:r w:rsidR="003A16C0">
        <w:rPr>
          <w:rFonts w:ascii="Arial" w:hAnsi="Arial"/>
          <w:sz w:val="24"/>
        </w:rPr>
        <w:t xml:space="preserve">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4C4BBEB6" w:rsidR="00B65E42" w:rsidRDefault="009A68CD" w:rsidP="006600CD">
      <w:pPr>
        <w:spacing w:after="0"/>
      </w:pPr>
      <w:r>
        <w:t>T</w:t>
      </w:r>
      <w:r w:rsidR="00AC6A7A">
        <w:t>he last RAN3 meeting achieved multiple agreements</w:t>
      </w:r>
      <w:r w:rsidR="00D80F5E">
        <w:t xml:space="preserve"> </w:t>
      </w:r>
      <w:r w:rsidR="00AA7D5D">
        <w:t>related to</w:t>
      </w:r>
      <w:r>
        <w:t xml:space="preserve"> mobile-IAB inter-donor migration procedures </w:t>
      </w:r>
      <w:r w:rsidR="00D80F5E">
        <w:t>[1]</w:t>
      </w:r>
      <w:r w:rsidR="00AC6A7A">
        <w:t xml:space="preserve">. The following discussion aims to make further progress </w:t>
      </w:r>
      <w:r w:rsidR="00AA7D5D">
        <w:t>on</w:t>
      </w:r>
      <w:r>
        <w:t xml:space="preserve"> </w:t>
      </w:r>
      <w:r w:rsidR="00AC6A7A">
        <w:t>this topic.</w:t>
      </w:r>
    </w:p>
    <w:p w14:paraId="6755CDBE" w14:textId="77777777" w:rsidR="00D80F5E" w:rsidRDefault="00D80F5E" w:rsidP="006600CD">
      <w:pPr>
        <w:spacing w:after="0"/>
      </w:pPr>
    </w:p>
    <w:p w14:paraId="567263CA" w14:textId="009570DF" w:rsidR="00F705E6" w:rsidRPr="00320A6B" w:rsidRDefault="009A68CD" w:rsidP="00AA7D5D">
      <w:pPr>
        <w:spacing w:after="0"/>
      </w:pPr>
      <w:r>
        <w:t>References to specific agreements are included in the discussion</w:t>
      </w:r>
      <w:r w:rsidR="00AA7D5D">
        <w:t xml:space="preserve"> below.</w:t>
      </w:r>
    </w:p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341CFBAD" w14:textId="7ED8331F" w:rsidR="002335F9" w:rsidRDefault="002335F9" w:rsidP="00D76CCE">
      <w:pPr>
        <w:pStyle w:val="Heading2"/>
        <w:rPr>
          <w:highlight w:val="yellow"/>
        </w:rPr>
      </w:pPr>
      <w:r>
        <w:rPr>
          <w:highlight w:val="yellow"/>
        </w:rPr>
        <w:t>Issue 1:</w:t>
      </w:r>
      <w:r w:rsidRPr="002335F9">
        <w:t xml:space="preserve"> </w:t>
      </w:r>
      <w:r w:rsidR="00EF0219">
        <w:t>CU selection during m</w:t>
      </w:r>
      <w:r w:rsidRPr="002335F9">
        <w:t>obile IAB-node integration</w:t>
      </w:r>
    </w:p>
    <w:p w14:paraId="4C880417" w14:textId="1911BF26" w:rsidR="002335F9" w:rsidRDefault="002335F9" w:rsidP="00667AA2">
      <w:pPr>
        <w:pStyle w:val="Agreement"/>
        <w:numPr>
          <w:ilvl w:val="0"/>
          <w:numId w:val="0"/>
        </w:numPr>
        <w:snapToGrid w:val="0"/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RAN3 agreed in the last meeting [1]: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456"/>
      </w:tblGrid>
      <w:tr w:rsidR="002335F9" w14:paraId="6652921A" w14:textId="77777777" w:rsidTr="00EF0219">
        <w:tc>
          <w:tcPr>
            <w:tcW w:w="9456" w:type="dxa"/>
          </w:tcPr>
          <w:p w14:paraId="44DCD134" w14:textId="6893F0A4" w:rsidR="002335F9" w:rsidRPr="00EF0219" w:rsidRDefault="00EF0219" w:rsidP="00667AA2">
            <w:pPr>
              <w:snapToGrid w:val="0"/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EF0219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>Turn into an agreement the WA stating that: The mIAB-MT and its co-located mIAB-DU can be handed over/migrated to different donor CUs.</w:t>
            </w:r>
            <w:r w:rsidRPr="00EF0219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</w:p>
        </w:tc>
      </w:tr>
    </w:tbl>
    <w:p w14:paraId="163B0D20" w14:textId="39FBEE86" w:rsidR="00EF0219" w:rsidRDefault="00EF0219" w:rsidP="00667AA2">
      <w:pPr>
        <w:snapToGrid w:val="0"/>
        <w:spacing w:before="120" w:after="120"/>
      </w:pPr>
      <w:r>
        <w:t>Since DU migration and MT migration can select different donor-CUs, there is no reason to preclude DU and MT to select different donor-CUs during network integration.</w:t>
      </w:r>
    </w:p>
    <w:p w14:paraId="35CFF99B" w14:textId="15BE6BB4" w:rsidR="00EF0219" w:rsidRDefault="00EF0219" w:rsidP="00667AA2">
      <w:pPr>
        <w:snapToGrid w:val="0"/>
        <w:spacing w:before="120" w:after="120"/>
        <w:rPr>
          <w:b/>
          <w:bCs/>
        </w:rPr>
      </w:pPr>
      <w:r w:rsidRPr="00EF0219">
        <w:rPr>
          <w:b/>
          <w:bCs/>
        </w:rPr>
        <w:t>Observation 1: Since DU migration and MT migration can select different donor-CUs, there is no reason to preclude DU and MT to select different donor-CUs during network integration.</w:t>
      </w:r>
    </w:p>
    <w:p w14:paraId="6CEDF6CC" w14:textId="5E15227B" w:rsidR="00766A4F" w:rsidRDefault="00766A4F" w:rsidP="00667AA2">
      <w:pPr>
        <w:snapToGrid w:val="0"/>
        <w:spacing w:before="120" w:after="120"/>
        <w:rPr>
          <w:b/>
          <w:bCs/>
        </w:rPr>
      </w:pPr>
      <w:r w:rsidRPr="00EF0219">
        <w:rPr>
          <w:b/>
          <w:bCs/>
        </w:rPr>
        <w:t>Proposal</w:t>
      </w:r>
      <w:r>
        <w:rPr>
          <w:b/>
          <w:bCs/>
        </w:rPr>
        <w:t xml:space="preserve"> 1a</w:t>
      </w:r>
      <w:r w:rsidRPr="00EF0219">
        <w:rPr>
          <w:b/>
          <w:bCs/>
        </w:rPr>
        <w:t xml:space="preserve">: During </w:t>
      </w:r>
      <w:r>
        <w:rPr>
          <w:b/>
          <w:bCs/>
        </w:rPr>
        <w:t xml:space="preserve">mIAB </w:t>
      </w:r>
      <w:r w:rsidRPr="00EF0219">
        <w:rPr>
          <w:b/>
          <w:bCs/>
        </w:rPr>
        <w:t>network integration, the mIAB-MT and mIAB-DU can select different donor-CUs.</w:t>
      </w:r>
    </w:p>
    <w:p w14:paraId="2859A54A" w14:textId="7181DCF0" w:rsidR="00766A4F" w:rsidRDefault="00881E57" w:rsidP="00667AA2">
      <w:pPr>
        <w:snapToGrid w:val="0"/>
        <w:spacing w:before="120" w:after="120"/>
        <w:jc w:val="center"/>
      </w:pPr>
      <w:r w:rsidRPr="00881E57">
        <w:rPr>
          <w:noProof/>
        </w:rPr>
        <w:drawing>
          <wp:inline distT="0" distB="0" distL="0" distR="0" wp14:anchorId="364D4375" wp14:editId="36638AC8">
            <wp:extent cx="4105085" cy="181771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952" cy="182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E09A8" w14:textId="45FB4737" w:rsidR="00667AA2" w:rsidRPr="00667AA2" w:rsidRDefault="00667AA2" w:rsidP="00667AA2">
      <w:pPr>
        <w:snapToGrid w:val="0"/>
        <w:spacing w:before="120" w:after="120"/>
        <w:jc w:val="center"/>
        <w:rPr>
          <w:rFonts w:ascii="Arial" w:hAnsi="Arial" w:cs="Arial"/>
          <w:b/>
          <w:bCs/>
        </w:rPr>
      </w:pPr>
      <w:r w:rsidRPr="00667AA2">
        <w:rPr>
          <w:rFonts w:ascii="Arial" w:hAnsi="Arial" w:cs="Arial"/>
          <w:b/>
          <w:bCs/>
        </w:rPr>
        <w:t>Figure 1: Passing of XnAP UE ID for mIAB-MT and gNB-ID of RRC-terminating CU to the F1-</w:t>
      </w:r>
      <w:r w:rsidR="00881E57">
        <w:rPr>
          <w:rFonts w:ascii="Arial" w:hAnsi="Arial" w:cs="Arial"/>
          <w:b/>
          <w:bCs/>
        </w:rPr>
        <w:t>terminating</w:t>
      </w:r>
      <w:r w:rsidRPr="00667AA2">
        <w:rPr>
          <w:rFonts w:ascii="Arial" w:hAnsi="Arial" w:cs="Arial"/>
          <w:b/>
          <w:bCs/>
        </w:rPr>
        <w:t xml:space="preserve"> CU during mIAB-node integration</w:t>
      </w:r>
    </w:p>
    <w:p w14:paraId="6BB93CF3" w14:textId="03117694" w:rsidR="00766A4F" w:rsidRPr="00EF0219" w:rsidRDefault="00766A4F" w:rsidP="00667AA2">
      <w:pPr>
        <w:snapToGrid w:val="0"/>
        <w:spacing w:before="120" w:after="120"/>
        <w:rPr>
          <w:b/>
          <w:bCs/>
        </w:rPr>
      </w:pPr>
      <w:r w:rsidRPr="00766A4F">
        <w:t>This implies that the F1-terminating CU needs to know the RRC-terminating CU’s gNB-ID and</w:t>
      </w:r>
      <w:r>
        <w:t xml:space="preserve"> the</w:t>
      </w:r>
      <w:r w:rsidRPr="00766A4F">
        <w:t xml:space="preserve"> XnAP UE ID selected for the mIAB-MT</w:t>
      </w:r>
      <w:r>
        <w:t>, so that the F1-terminating CU can initiate the Xn TMM procedures toward the RRC-terminating CU.</w:t>
      </w:r>
      <w:r w:rsidR="00667AA2">
        <w:t xml:space="preserve"> The RRC-terminating CU can pass these IDs in an RRC message to the mIAB-MT. The mIAB-DU can pass this information to the F1-termiatning CU in the F1 Setup Request message (Figure 1).</w:t>
      </w:r>
    </w:p>
    <w:p w14:paraId="0F16DE03" w14:textId="4FD3376E" w:rsidR="00766A4F" w:rsidRPr="00766A4F" w:rsidRDefault="00766A4F" w:rsidP="00667AA2">
      <w:pPr>
        <w:snapToGrid w:val="0"/>
        <w:spacing w:before="120" w:after="120"/>
        <w:rPr>
          <w:b/>
          <w:bCs/>
        </w:rPr>
      </w:pPr>
      <w:r w:rsidRPr="00766A4F">
        <w:rPr>
          <w:b/>
          <w:bCs/>
        </w:rPr>
        <w:t xml:space="preserve">Proposal 1b: During mIAB network integration, the F1-terminating CU to obtain the gNB-ID of the RRC-terminating CU and the XnAP UE ID the RRC-terminating CU selected for the mIAB-MT. </w:t>
      </w:r>
    </w:p>
    <w:p w14:paraId="4B8C2A17" w14:textId="2B3F2CCB" w:rsidR="00EF0219" w:rsidRDefault="00EF0219" w:rsidP="00667AA2">
      <w:pPr>
        <w:snapToGrid w:val="0"/>
        <w:spacing w:before="120" w:after="120"/>
        <w:rPr>
          <w:b/>
          <w:bCs/>
        </w:rPr>
      </w:pPr>
    </w:p>
    <w:p w14:paraId="356F66B0" w14:textId="0BB67522" w:rsidR="008555AC" w:rsidRDefault="00EF0219" w:rsidP="00667AA2">
      <w:pPr>
        <w:snapToGrid w:val="0"/>
        <w:spacing w:before="120" w:after="120"/>
        <w:rPr>
          <w:b/>
          <w:bCs/>
        </w:rPr>
      </w:pPr>
      <w:r>
        <w:rPr>
          <w:b/>
          <w:bCs/>
        </w:rPr>
        <w:lastRenderedPageBreak/>
        <w:t>Proposal 1</w:t>
      </w:r>
      <w:r w:rsidR="00766A4F">
        <w:rPr>
          <w:b/>
          <w:bCs/>
        </w:rPr>
        <w:t>c</w:t>
      </w:r>
      <w:r>
        <w:rPr>
          <w:b/>
          <w:bCs/>
        </w:rPr>
        <w:t xml:space="preserve">: </w:t>
      </w:r>
      <w:r w:rsidR="008555AC">
        <w:rPr>
          <w:b/>
          <w:bCs/>
        </w:rPr>
        <w:t xml:space="preserve">During </w:t>
      </w:r>
      <w:r w:rsidR="001C060E">
        <w:rPr>
          <w:b/>
          <w:bCs/>
        </w:rPr>
        <w:t xml:space="preserve">mIAB </w:t>
      </w:r>
      <w:r w:rsidR="008555AC">
        <w:rPr>
          <w:b/>
          <w:bCs/>
        </w:rPr>
        <w:t xml:space="preserve">network integration, the </w:t>
      </w:r>
      <w:r w:rsidR="001C060E">
        <w:rPr>
          <w:b/>
          <w:bCs/>
        </w:rPr>
        <w:t>RRC</w:t>
      </w:r>
      <w:r w:rsidR="008555AC">
        <w:rPr>
          <w:b/>
          <w:bCs/>
        </w:rPr>
        <w:t>-terminating CU</w:t>
      </w:r>
      <w:r w:rsidR="001C060E">
        <w:rPr>
          <w:b/>
          <w:bCs/>
        </w:rPr>
        <w:t xml:space="preserve"> to select an XnAP UE ID for the mIAB-MT and pass this ID together with its</w:t>
      </w:r>
      <w:r w:rsidR="008555AC">
        <w:rPr>
          <w:b/>
          <w:bCs/>
        </w:rPr>
        <w:t xml:space="preserve"> gNB-ID </w:t>
      </w:r>
      <w:r w:rsidR="001C060E">
        <w:rPr>
          <w:b/>
          <w:bCs/>
        </w:rPr>
        <w:t xml:space="preserve">to the mIAB-MT </w:t>
      </w:r>
      <w:r w:rsidR="002C7DF4">
        <w:rPr>
          <w:b/>
          <w:bCs/>
        </w:rPr>
        <w:t>via RRC</w:t>
      </w:r>
      <w:r w:rsidR="008555AC">
        <w:rPr>
          <w:b/>
          <w:bCs/>
        </w:rPr>
        <w:t>.</w:t>
      </w:r>
      <w:r w:rsidR="002C7DF4">
        <w:rPr>
          <w:b/>
          <w:bCs/>
        </w:rPr>
        <w:t xml:space="preserve"> The mIAB-DU to pass the XnAP UE ID and the gNB ID to the F1-terminating CU in the F1 Setup Request.</w:t>
      </w:r>
    </w:p>
    <w:p w14:paraId="55044030" w14:textId="1F1F613C" w:rsidR="0030112A" w:rsidRDefault="0030112A" w:rsidP="00667AA2">
      <w:pPr>
        <w:snapToGrid w:val="0"/>
        <w:spacing w:before="120" w:after="120"/>
        <w:rPr>
          <w:b/>
          <w:bCs/>
        </w:rPr>
      </w:pPr>
    </w:p>
    <w:p w14:paraId="53E40050" w14:textId="288880EA" w:rsidR="000100FB" w:rsidRPr="00EA1745" w:rsidRDefault="000100FB" w:rsidP="000100FB">
      <w:pPr>
        <w:pStyle w:val="Heading2"/>
      </w:pPr>
      <w:r w:rsidRPr="00D76CCE">
        <w:rPr>
          <w:highlight w:val="yellow"/>
        </w:rPr>
        <w:t xml:space="preserve">Issue </w:t>
      </w:r>
      <w:r>
        <w:rPr>
          <w:highlight w:val="yellow"/>
        </w:rPr>
        <w:t>2</w:t>
      </w:r>
      <w:r w:rsidRPr="00D76CCE">
        <w:rPr>
          <w:highlight w:val="yellow"/>
        </w:rPr>
        <w:t>:</w:t>
      </w:r>
      <w:r>
        <w:t xml:space="preserve"> </w:t>
      </w:r>
      <w:r w:rsidR="00253E0B" w:rsidRPr="00253E0B">
        <w:t>Passing of mIAB-MT’s CU ID and XnAP UE ID</w:t>
      </w:r>
    </w:p>
    <w:p w14:paraId="03C7FB51" w14:textId="517A0B17" w:rsidR="000100FB" w:rsidRDefault="000100FB" w:rsidP="00583D60">
      <w:pPr>
        <w:pStyle w:val="Agreement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RAN3 agreed in </w:t>
      </w:r>
      <w:r w:rsidR="00253E0B">
        <w:rPr>
          <w:rFonts w:ascii="Times New Roman" w:hAnsi="Times New Roman"/>
          <w:b w:val="0"/>
        </w:rPr>
        <w:t>last meeting</w:t>
      </w:r>
      <w:r w:rsidR="00583D60">
        <w:rPr>
          <w:rFonts w:ascii="Times New Roman" w:hAnsi="Times New Roman"/>
          <w:b w:val="0"/>
        </w:rPr>
        <w:t xml:space="preserve"> [1]</w:t>
      </w:r>
      <w:r>
        <w:rPr>
          <w:rFonts w:ascii="Times New Roman" w:hAnsi="Times New Roman"/>
          <w:b w:val="0"/>
        </w:rPr>
        <w:t>: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487"/>
      </w:tblGrid>
      <w:tr w:rsidR="000100FB" w14:paraId="1F50DB43" w14:textId="77777777" w:rsidTr="00583D60">
        <w:tc>
          <w:tcPr>
            <w:tcW w:w="9487" w:type="dxa"/>
          </w:tcPr>
          <w:p w14:paraId="7CE396B9" w14:textId="77777777" w:rsidR="00253E0B" w:rsidRPr="00253E0B" w:rsidRDefault="00253E0B" w:rsidP="00253E0B">
            <w:pPr>
              <w:spacing w:before="120" w:after="100" w:afterAutospacing="1"/>
              <w:rPr>
                <w:rFonts w:ascii="Calibri" w:hAnsi="Calibri" w:cs="Calibri"/>
                <w:b/>
                <w:color w:val="008000"/>
                <w:sz w:val="18"/>
              </w:rPr>
            </w:pPr>
            <w:r w:rsidRPr="00253E0B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The “Non-F1-Terminating IAB-donor UE XnAP ID” in the IAB TRANSPORT MIGRATION MANAGEMENT REQUEST message sent from mIAB-DU’s target CU to the mIAB-MT’s CU is generated by the mIAB-MT’s CU.</w:t>
            </w:r>
            <w:r w:rsidRPr="00253E0B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  <w:p w14:paraId="087D49D8" w14:textId="78E3852D" w:rsidR="00253E0B" w:rsidRPr="00253E0B" w:rsidRDefault="00253E0B" w:rsidP="00253E0B">
            <w:pPr>
              <w:snapToGrid w:val="0"/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 xml:space="preserve">Down select between the following two options for providing the </w:t>
            </w: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highlight w:val="yellow"/>
                <w:u w:val="none"/>
              </w:rPr>
              <w:t>gNB-ID</w:t>
            </w: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 xml:space="preserve"> of the mIAB-MT’s CU and the </w:t>
            </w: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highlight w:val="yellow"/>
                <w:u w:val="none"/>
              </w:rPr>
              <w:t>XnAP UE ID</w:t>
            </w: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 xml:space="preserve"> of the mIAB-MT at this CU to mIAB-DU’s target CU:</w:t>
            </w:r>
          </w:p>
          <w:p w14:paraId="4986996B" w14:textId="77777777" w:rsidR="00253E0B" w:rsidRPr="00253E0B" w:rsidRDefault="00253E0B" w:rsidP="00253E0B">
            <w:pPr>
              <w:numPr>
                <w:ilvl w:val="0"/>
                <w:numId w:val="29"/>
              </w:numPr>
              <w:autoSpaceDN w:val="0"/>
              <w:snapToGrid w:val="0"/>
              <w:spacing w:after="60"/>
              <w:ind w:left="768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253E0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>Option A: XnAP signalling from the mIAB-DU’s source CU.</w:t>
            </w:r>
          </w:p>
          <w:p w14:paraId="4BB86F51" w14:textId="77777777" w:rsidR="00253E0B" w:rsidRPr="00253E0B" w:rsidRDefault="00253E0B" w:rsidP="00253E0B">
            <w:pPr>
              <w:numPr>
                <w:ilvl w:val="0"/>
                <w:numId w:val="29"/>
              </w:numPr>
              <w:autoSpaceDN w:val="0"/>
              <w:snapToGrid w:val="0"/>
              <w:spacing w:after="60"/>
              <w:ind w:left="768"/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</w:pPr>
            <w:r w:rsidRPr="00253E0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>Option B: F1AP signalling from the target logical mIAB-DU.</w:t>
            </w:r>
          </w:p>
          <w:p w14:paraId="495A1127" w14:textId="7F1E47DD" w:rsidR="000100FB" w:rsidRPr="00253E0B" w:rsidRDefault="00253E0B" w:rsidP="00253E0B">
            <w:pPr>
              <w:snapToGrid w:val="0"/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253E0B">
              <w:rPr>
                <w:rStyle w:val="16"/>
                <w:rFonts w:ascii="Calibri" w:hAnsi="Calibri" w:cs="Calibri"/>
                <w:b/>
                <w:bCs/>
                <w:color w:val="008000"/>
                <w:sz w:val="18"/>
                <w:u w:val="none"/>
              </w:rPr>
              <w:t>For Option B, discuss whether and how the mIAB-DU can obtain the gNB-ID of the mIAB-MT’s CU and the XnAP UE ID of the mIAB-MT at this CU.</w:t>
            </w:r>
          </w:p>
        </w:tc>
      </w:tr>
    </w:tbl>
    <w:p w14:paraId="6332E097" w14:textId="6AB8DBA0" w:rsidR="004D34F9" w:rsidRDefault="00366CBB" w:rsidP="00583D60">
      <w:pPr>
        <w:pStyle w:val="Agreement"/>
        <w:numPr>
          <w:ilvl w:val="0"/>
          <w:numId w:val="0"/>
        </w:numPr>
        <w:spacing w:before="120" w:after="120"/>
        <w:jc w:val="center"/>
        <w:rPr>
          <w:rFonts w:eastAsia="Times New Roman" w:cs="Arial"/>
          <w:bCs/>
        </w:rPr>
      </w:pPr>
      <w:r w:rsidRPr="00366CBB">
        <w:rPr>
          <w:noProof/>
        </w:rPr>
        <w:drawing>
          <wp:inline distT="0" distB="0" distL="0" distR="0" wp14:anchorId="7CAAF4B4" wp14:editId="31C06D24">
            <wp:extent cx="6122035" cy="28530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44396" w14:textId="438404C0" w:rsidR="00130FE9" w:rsidRDefault="009307BE" w:rsidP="00583D60">
      <w:pPr>
        <w:pStyle w:val="Agreement"/>
        <w:numPr>
          <w:ilvl w:val="0"/>
          <w:numId w:val="0"/>
        </w:numPr>
        <w:spacing w:before="120" w:after="120"/>
        <w:jc w:val="center"/>
        <w:rPr>
          <w:rFonts w:eastAsia="Times New Roman" w:cs="Arial"/>
          <w:bCs/>
        </w:rPr>
      </w:pPr>
      <w:r w:rsidRPr="004D34F9">
        <w:rPr>
          <w:rFonts w:eastAsia="Times New Roman" w:cs="Arial"/>
          <w:bCs/>
        </w:rPr>
        <w:t xml:space="preserve">Figure </w:t>
      </w:r>
      <w:r w:rsidR="00667AA2">
        <w:rPr>
          <w:rFonts w:eastAsia="Times New Roman" w:cs="Arial"/>
          <w:bCs/>
        </w:rPr>
        <w:t>2</w:t>
      </w:r>
      <w:r w:rsidRPr="004D34F9">
        <w:rPr>
          <w:rFonts w:eastAsia="Times New Roman" w:cs="Arial"/>
          <w:bCs/>
        </w:rPr>
        <w:t>: Options to pass mIAB-MT ID and MT’s gNB-ID to the mIAB-DU’s CU</w:t>
      </w:r>
      <w:r w:rsidR="00130FE9">
        <w:rPr>
          <w:rFonts w:eastAsia="Times New Roman" w:cs="Arial"/>
          <w:bCs/>
        </w:rPr>
        <w:t xml:space="preserve">. </w:t>
      </w:r>
    </w:p>
    <w:p w14:paraId="3F2CB23C" w14:textId="225AED4E" w:rsidR="006A5837" w:rsidRDefault="00AB42FC" w:rsidP="001C28DA">
      <w:pPr>
        <w:spacing w:before="120" w:after="120"/>
      </w:pPr>
      <w:r>
        <w:t>Option A requires introduction of a new Xn signaling procedure between two F1-terminating DUs (Step 3 in Fig.2</w:t>
      </w:r>
      <w:r w:rsidR="00F22D77">
        <w:t>,  Option-A</w:t>
      </w:r>
      <w:r>
        <w:t>). Further, Option A cannot be used for mIAB-node integration as discussed under Issue 1 since neither mIAB-MT nor mIAB-DU have respective source CUs during network integration.</w:t>
      </w:r>
    </w:p>
    <w:p w14:paraId="029FD931" w14:textId="13C14C67" w:rsidR="00AB42FC" w:rsidRDefault="001C28DA" w:rsidP="001C28DA">
      <w:pPr>
        <w:spacing w:before="120" w:after="120"/>
      </w:pPr>
      <w:r>
        <w:t xml:space="preserve">Option B </w:t>
      </w:r>
      <w:r w:rsidR="00AB42FC">
        <w:t>can be split into two sub</w:t>
      </w:r>
      <w:r w:rsidR="003C3D83">
        <w:t xml:space="preserve"> </w:t>
      </w:r>
      <w:r w:rsidR="00AB42FC">
        <w:t>options:</w:t>
      </w:r>
    </w:p>
    <w:p w14:paraId="7D9309CB" w14:textId="24AB0809" w:rsidR="00AB42FC" w:rsidRPr="00AB42FC" w:rsidRDefault="00AB42FC" w:rsidP="001C28DA">
      <w:pPr>
        <w:spacing w:before="120" w:after="120"/>
        <w:rPr>
          <w:b/>
          <w:bCs/>
        </w:rPr>
      </w:pPr>
      <w:r w:rsidRPr="00AB42FC">
        <w:rPr>
          <w:b/>
          <w:bCs/>
        </w:rPr>
        <w:t>Option B1:</w:t>
      </w:r>
      <w:r>
        <w:rPr>
          <w:b/>
          <w:bCs/>
        </w:rPr>
        <w:t xml:space="preserve"> The identifiers are passed to the Source mIAB-DU’s CU via Xn as agreed by RAN3, and they are passed to the Target mIAB-DU’s CU via F1AP.  </w:t>
      </w:r>
    </w:p>
    <w:p w14:paraId="6DCDBE2D" w14:textId="7386AFF9" w:rsidR="001C28DA" w:rsidRDefault="00AB42FC" w:rsidP="001C28DA">
      <w:pPr>
        <w:spacing w:before="120" w:after="120"/>
      </w:pPr>
      <w:r w:rsidRPr="00AB42FC">
        <w:rPr>
          <w:b/>
          <w:bCs/>
        </w:rPr>
        <w:t>Option B2:</w:t>
      </w:r>
      <w:r>
        <w:t xml:space="preserve"> </w:t>
      </w:r>
      <w:r>
        <w:rPr>
          <w:b/>
          <w:bCs/>
        </w:rPr>
        <w:t xml:space="preserve">The identifiers are passed </w:t>
      </w:r>
      <w:r w:rsidR="00C35F9D">
        <w:rPr>
          <w:b/>
          <w:bCs/>
        </w:rPr>
        <w:t>via F1AP instead of Xn to the</w:t>
      </w:r>
      <w:r>
        <w:rPr>
          <w:b/>
          <w:bCs/>
        </w:rPr>
        <w:t xml:space="preserve"> Source mIAB-DU’s CU.</w:t>
      </w:r>
    </w:p>
    <w:p w14:paraId="654CB36A" w14:textId="426E73EE" w:rsidR="00CC012E" w:rsidRDefault="003C3D83" w:rsidP="006A5837">
      <w:pPr>
        <w:spacing w:before="120" w:after="120"/>
      </w:pPr>
      <w:r>
        <w:t>For both B1 and B2, the identifiers can be passed in the HO command to the mIAB-node as shown Fig. 2 and Fig. 1.</w:t>
      </w:r>
      <w:r w:rsidR="00F76A28">
        <w:t xml:space="preserve"> They can then be forwarded to the target mIAB-DU’s CU in the F1 Setup Request. Therefore, </w:t>
      </w:r>
      <w:r w:rsidR="00C35F9D">
        <w:t xml:space="preserve">opposed to Option A, </w:t>
      </w:r>
      <w:r w:rsidR="00F76A28">
        <w:t>no new signaling procedure need</w:t>
      </w:r>
      <w:r w:rsidR="00C35F9D">
        <w:t>s</w:t>
      </w:r>
      <w:r w:rsidR="00F76A28">
        <w:t xml:space="preserve"> to be introduced. </w:t>
      </w:r>
    </w:p>
    <w:p w14:paraId="2C1A20DC" w14:textId="50E88671" w:rsidR="00F76A28" w:rsidRDefault="003C3D83" w:rsidP="006A5837">
      <w:pPr>
        <w:spacing w:before="120" w:after="120"/>
      </w:pPr>
      <w:r>
        <w:t>Option B1</w:t>
      </w:r>
      <w:r w:rsidR="00F76A28">
        <w:t xml:space="preserve"> uses two </w:t>
      </w:r>
      <w:r w:rsidR="00F76A28" w:rsidRPr="00F76A28">
        <w:rPr>
          <w:i/>
          <w:iCs/>
        </w:rPr>
        <w:t>different</w:t>
      </w:r>
      <w:r w:rsidR="00F76A28">
        <w:t xml:space="preserve"> mechanisms to pass the </w:t>
      </w:r>
      <w:r w:rsidR="00F76A28" w:rsidRPr="00F76A28">
        <w:rPr>
          <w:i/>
          <w:iCs/>
        </w:rPr>
        <w:t>same</w:t>
      </w:r>
      <w:r w:rsidR="00F76A28">
        <w:t xml:space="preserve"> Identifiers to the source mIAB-DU’s CU </w:t>
      </w:r>
      <w:r w:rsidR="00C35F9D">
        <w:t>vs. the</w:t>
      </w:r>
      <w:r w:rsidR="00F76A28">
        <w:t xml:space="preserve"> target mIAB-DU’s CU. For this, it requires 4 signaling messages.</w:t>
      </w:r>
    </w:p>
    <w:p w14:paraId="62DEA896" w14:textId="35D670BD" w:rsidR="003C3D83" w:rsidRDefault="00F76A28" w:rsidP="006A5837">
      <w:pPr>
        <w:spacing w:before="120" w:after="120"/>
      </w:pPr>
      <w:r>
        <w:t xml:space="preserve">Option B2 uses </w:t>
      </w:r>
      <w:r w:rsidRPr="00F76A28">
        <w:rPr>
          <w:i/>
          <w:iCs/>
        </w:rPr>
        <w:t>one common</w:t>
      </w:r>
      <w:r>
        <w:t xml:space="preserve"> </w:t>
      </w:r>
      <w:r w:rsidR="00C35F9D">
        <w:t>mechanism</w:t>
      </w:r>
      <w:r>
        <w:t xml:space="preserve"> to passe these identifiers to </w:t>
      </w:r>
      <w:r w:rsidR="00C35F9D">
        <w:t>both</w:t>
      </w:r>
      <w:r>
        <w:t xml:space="preserve"> CUs</w:t>
      </w:r>
      <w:r w:rsidR="003C3D83">
        <w:t xml:space="preserve">. </w:t>
      </w:r>
      <w:r>
        <w:t xml:space="preserve">For that reason, it only needs 3 signaling messages. </w:t>
      </w:r>
    </w:p>
    <w:p w14:paraId="316B1714" w14:textId="0FB59EB4" w:rsidR="00F76A28" w:rsidRDefault="00F76A28" w:rsidP="006A5837">
      <w:pPr>
        <w:spacing w:before="120" w:after="120"/>
      </w:pPr>
      <w:r>
        <w:t xml:space="preserve">For these reasons, Option B2 </w:t>
      </w:r>
      <w:r w:rsidR="00C35F9D">
        <w:t xml:space="preserve">is superior to Option B1 and </w:t>
      </w:r>
      <w:r w:rsidR="003F78CD">
        <w:t>should be supported</w:t>
      </w:r>
      <w:r>
        <w:t>.</w:t>
      </w:r>
    </w:p>
    <w:p w14:paraId="1938AC2A" w14:textId="0DEBCDBA" w:rsidR="006A5837" w:rsidRDefault="005D3515" w:rsidP="00583D60">
      <w:pPr>
        <w:spacing w:before="120" w:after="120"/>
        <w:rPr>
          <w:b/>
          <w:bCs/>
        </w:rPr>
      </w:pPr>
      <w:r w:rsidRPr="00D564D5">
        <w:rPr>
          <w:b/>
          <w:bCs/>
        </w:rPr>
        <w:lastRenderedPageBreak/>
        <w:t>Observation</w:t>
      </w:r>
      <w:r>
        <w:rPr>
          <w:b/>
          <w:bCs/>
        </w:rPr>
        <w:t xml:space="preserve"> </w:t>
      </w:r>
      <w:r w:rsidR="006A5837">
        <w:rPr>
          <w:b/>
          <w:bCs/>
        </w:rPr>
        <w:t>2a</w:t>
      </w:r>
      <w:r w:rsidRPr="00D564D5">
        <w:rPr>
          <w:b/>
          <w:bCs/>
        </w:rPr>
        <w:t xml:space="preserve">: </w:t>
      </w:r>
      <w:r w:rsidR="006A5837">
        <w:rPr>
          <w:b/>
          <w:bCs/>
        </w:rPr>
        <w:t xml:space="preserve">During DU migration, </w:t>
      </w:r>
      <w:r w:rsidR="00F76A28" w:rsidRPr="00F76A28">
        <w:rPr>
          <w:b/>
          <w:bCs/>
        </w:rPr>
        <w:t>Option A (XnAP signalling from the mIAB-DU’s source CU)</w:t>
      </w:r>
      <w:r w:rsidR="00F76A28">
        <w:rPr>
          <w:b/>
          <w:bCs/>
        </w:rPr>
        <w:t xml:space="preserve"> </w:t>
      </w:r>
      <w:r w:rsidR="006A5837">
        <w:rPr>
          <w:b/>
          <w:bCs/>
        </w:rPr>
        <w:t xml:space="preserve">requires a new Xn signaling procedure. </w:t>
      </w:r>
      <w:r w:rsidR="00F76A28">
        <w:rPr>
          <w:b/>
          <w:bCs/>
        </w:rPr>
        <w:t xml:space="preserve">Also, </w:t>
      </w:r>
      <w:r w:rsidR="006A5837">
        <w:rPr>
          <w:b/>
          <w:bCs/>
        </w:rPr>
        <w:t xml:space="preserve">Option A </w:t>
      </w:r>
      <w:r w:rsidR="00F76A28">
        <w:rPr>
          <w:b/>
          <w:bCs/>
          <w:u w:val="single"/>
        </w:rPr>
        <w:t>cannot</w:t>
      </w:r>
      <w:r w:rsidR="006A5837">
        <w:rPr>
          <w:b/>
          <w:bCs/>
        </w:rPr>
        <w:t xml:space="preserve"> be used for mIAB-node integration. </w:t>
      </w:r>
    </w:p>
    <w:p w14:paraId="63954B2B" w14:textId="31D429C0" w:rsidR="006A5837" w:rsidRDefault="006A5837" w:rsidP="006A5837">
      <w:pPr>
        <w:spacing w:before="120" w:after="120"/>
        <w:rPr>
          <w:b/>
          <w:bCs/>
        </w:rPr>
      </w:pPr>
      <w:r w:rsidRPr="00D564D5">
        <w:rPr>
          <w:b/>
          <w:bCs/>
        </w:rPr>
        <w:t>Observation</w:t>
      </w:r>
      <w:r>
        <w:rPr>
          <w:b/>
          <w:bCs/>
        </w:rPr>
        <w:t xml:space="preserve"> 2b</w:t>
      </w:r>
      <w:r w:rsidRPr="00D564D5">
        <w:rPr>
          <w:b/>
          <w:bCs/>
        </w:rPr>
        <w:t xml:space="preserve">: </w:t>
      </w:r>
      <w:r>
        <w:rPr>
          <w:b/>
          <w:bCs/>
        </w:rPr>
        <w:t xml:space="preserve">During DU migration, </w:t>
      </w:r>
      <w:r w:rsidR="00F76A28">
        <w:rPr>
          <w:b/>
          <w:bCs/>
        </w:rPr>
        <w:t xml:space="preserve">Option B </w:t>
      </w:r>
      <w:r w:rsidR="00F76A28" w:rsidRPr="00F76A28">
        <w:rPr>
          <w:b/>
          <w:bCs/>
        </w:rPr>
        <w:t xml:space="preserve">(F1AP signalling from the target logical mIAB-DU) </w:t>
      </w:r>
      <w:r w:rsidRPr="00F76A28">
        <w:rPr>
          <w:b/>
          <w:bCs/>
        </w:rPr>
        <w:t xml:space="preserve">can reuse existing signaling. Option B </w:t>
      </w:r>
      <w:r w:rsidRPr="00F76A28">
        <w:rPr>
          <w:b/>
          <w:bCs/>
          <w:u w:val="single"/>
        </w:rPr>
        <w:t>can</w:t>
      </w:r>
      <w:r w:rsidRPr="00F76A28">
        <w:rPr>
          <w:b/>
          <w:bCs/>
        </w:rPr>
        <w:t xml:space="preserve"> also be used for mIAB-node integration.</w:t>
      </w:r>
    </w:p>
    <w:p w14:paraId="698F9758" w14:textId="4CD43F4B" w:rsidR="00F76A28" w:rsidRDefault="00F76A28" w:rsidP="00F76A28">
      <w:pPr>
        <w:spacing w:before="120" w:after="120"/>
        <w:rPr>
          <w:b/>
          <w:bCs/>
        </w:rPr>
      </w:pPr>
      <w:r w:rsidRPr="00D564D5">
        <w:rPr>
          <w:b/>
          <w:bCs/>
        </w:rPr>
        <w:t>Observation</w:t>
      </w:r>
      <w:r>
        <w:rPr>
          <w:b/>
          <w:bCs/>
        </w:rPr>
        <w:t xml:space="preserve"> 2c</w:t>
      </w:r>
      <w:r w:rsidRPr="00D564D5">
        <w:rPr>
          <w:b/>
          <w:bCs/>
        </w:rPr>
        <w:t xml:space="preserve">: </w:t>
      </w:r>
      <w:r>
        <w:rPr>
          <w:b/>
          <w:bCs/>
        </w:rPr>
        <w:t xml:space="preserve">During DU migration, Option </w:t>
      </w:r>
      <w:r w:rsidR="003F78CD">
        <w:rPr>
          <w:b/>
          <w:bCs/>
        </w:rPr>
        <w:t xml:space="preserve">B should also be applied for the passing of mIAB-MT’s Xn UE ID and mIAB-MT’s gNB-ID to the </w:t>
      </w:r>
      <w:r w:rsidR="003F78CD" w:rsidRPr="003F78CD">
        <w:rPr>
          <w:b/>
          <w:bCs/>
          <w:u w:val="single"/>
        </w:rPr>
        <w:t>Source</w:t>
      </w:r>
      <w:r w:rsidR="003F78CD">
        <w:rPr>
          <w:b/>
          <w:bCs/>
        </w:rPr>
        <w:t xml:space="preserve"> mIAB-DU’s CU</w:t>
      </w:r>
      <w:r w:rsidRPr="00F76A28">
        <w:rPr>
          <w:b/>
          <w:bCs/>
        </w:rPr>
        <w:t>.</w:t>
      </w:r>
    </w:p>
    <w:p w14:paraId="06864EF4" w14:textId="77777777" w:rsidR="00F76A28" w:rsidRDefault="00F76A28" w:rsidP="00583D60">
      <w:pPr>
        <w:spacing w:before="120" w:after="120"/>
      </w:pPr>
    </w:p>
    <w:p w14:paraId="154DAE55" w14:textId="5EC320D5" w:rsidR="006A5837" w:rsidRDefault="006A5837" w:rsidP="006A5837">
      <w:pPr>
        <w:spacing w:before="120" w:after="120"/>
        <w:rPr>
          <w:b/>
          <w:bCs/>
        </w:rPr>
      </w:pPr>
      <w:r>
        <w:rPr>
          <w:b/>
          <w:bCs/>
        </w:rPr>
        <w:t xml:space="preserve">Proposal 2a: During DU migration, </w:t>
      </w:r>
      <w:r w:rsidR="00F76A28">
        <w:rPr>
          <w:b/>
          <w:bCs/>
        </w:rPr>
        <w:t xml:space="preserve">Option B </w:t>
      </w:r>
      <w:r w:rsidR="00F76A28" w:rsidRPr="00F76A28">
        <w:rPr>
          <w:b/>
          <w:bCs/>
        </w:rPr>
        <w:t>(F1AP signalling from the target logical mIAB-DU)</w:t>
      </w:r>
      <w:r w:rsidR="00F76A28">
        <w:rPr>
          <w:b/>
          <w:bCs/>
        </w:rPr>
        <w:t xml:space="preserve"> to be supported.</w:t>
      </w:r>
    </w:p>
    <w:p w14:paraId="220B43B1" w14:textId="4ED9642B" w:rsidR="00D564D5" w:rsidRDefault="00D564D5" w:rsidP="00583D60">
      <w:pPr>
        <w:spacing w:before="120" w:after="120"/>
        <w:rPr>
          <w:b/>
          <w:bCs/>
        </w:rPr>
      </w:pPr>
      <w:r>
        <w:rPr>
          <w:b/>
          <w:bCs/>
        </w:rPr>
        <w:t>Proposal</w:t>
      </w:r>
      <w:r w:rsidR="00EF3F83">
        <w:rPr>
          <w:b/>
          <w:bCs/>
        </w:rPr>
        <w:t xml:space="preserve"> </w:t>
      </w:r>
      <w:r w:rsidR="00AB3861">
        <w:rPr>
          <w:b/>
          <w:bCs/>
        </w:rPr>
        <w:t>2</w:t>
      </w:r>
      <w:r>
        <w:rPr>
          <w:b/>
          <w:bCs/>
        </w:rPr>
        <w:t xml:space="preserve">b: In reversal of prior agreement, </w:t>
      </w:r>
      <w:r w:rsidR="003F78CD">
        <w:rPr>
          <w:b/>
          <w:bCs/>
        </w:rPr>
        <w:t xml:space="preserve">Option B also to be applied for the passing of </w:t>
      </w:r>
      <w:r>
        <w:rPr>
          <w:b/>
          <w:bCs/>
        </w:rPr>
        <w:t xml:space="preserve">mIAB-MT ID and MT’s gNB-ID to the </w:t>
      </w:r>
      <w:r w:rsidR="003F78CD" w:rsidRPr="003F78CD">
        <w:rPr>
          <w:b/>
          <w:bCs/>
          <w:u w:val="single"/>
        </w:rPr>
        <w:t>Source</w:t>
      </w:r>
      <w:r w:rsidR="003F78CD">
        <w:rPr>
          <w:b/>
          <w:bCs/>
        </w:rPr>
        <w:t xml:space="preserve"> </w:t>
      </w:r>
      <w:r>
        <w:rPr>
          <w:b/>
          <w:bCs/>
        </w:rPr>
        <w:t>mIAB-DU’s CU(s).</w:t>
      </w:r>
    </w:p>
    <w:p w14:paraId="5013E6B0" w14:textId="04E4AE4D" w:rsidR="00FA42CD" w:rsidRDefault="00FA42CD" w:rsidP="003F0B44">
      <w:pPr>
        <w:spacing w:after="160" w:line="259" w:lineRule="auto"/>
        <w:rPr>
          <w:b/>
          <w:bCs/>
        </w:rPr>
      </w:pPr>
    </w:p>
    <w:p w14:paraId="477383D3" w14:textId="4D5C7656" w:rsidR="003F78CD" w:rsidRPr="00EA1745" w:rsidRDefault="003F78CD" w:rsidP="003F78CD">
      <w:pPr>
        <w:pStyle w:val="Heading2"/>
      </w:pPr>
      <w:r w:rsidRPr="00D76CCE">
        <w:rPr>
          <w:highlight w:val="yellow"/>
        </w:rPr>
        <w:t xml:space="preserve">Issue </w:t>
      </w:r>
      <w:r>
        <w:rPr>
          <w:highlight w:val="yellow"/>
        </w:rPr>
        <w:t>3</w:t>
      </w:r>
      <w:r w:rsidRPr="00D76CCE">
        <w:rPr>
          <w:highlight w:val="yellow"/>
        </w:rPr>
        <w:t>:</w:t>
      </w:r>
      <w:r>
        <w:t xml:space="preserve"> Generation of</w:t>
      </w:r>
      <w:r w:rsidRPr="00253E0B">
        <w:t xml:space="preserve"> XnAP UE ID</w:t>
      </w:r>
      <w:r>
        <w:t xml:space="preserve"> for mIAB-MT</w:t>
      </w:r>
    </w:p>
    <w:p w14:paraId="35950FCB" w14:textId="73BA577E" w:rsidR="003F78CD" w:rsidRDefault="003F78CD" w:rsidP="00AA427E">
      <w:pPr>
        <w:pStyle w:val="Agreement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Chair notes from last meeting contain the following agreement and discussion points [1]: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487"/>
      </w:tblGrid>
      <w:tr w:rsidR="003F78CD" w14:paraId="64C0EC51" w14:textId="77777777" w:rsidTr="00B50755">
        <w:tc>
          <w:tcPr>
            <w:tcW w:w="9487" w:type="dxa"/>
          </w:tcPr>
          <w:p w14:paraId="6F42F831" w14:textId="77777777" w:rsidR="003F78CD" w:rsidRDefault="003F78CD" w:rsidP="00AA427E">
            <w:pPr>
              <w:snapToGrid w:val="0"/>
              <w:spacing w:before="120" w:after="120"/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</w:pPr>
            <w:r w:rsidRPr="003F78CD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The “Non-F1-Terminating IAB-donor UE XnAP ID” in the IAB TRANSPORT MIGRATION MANAGEMENT REQUEST message sent from mIAB-DU’s target CU to the mIAB-MT’s CU is generated by the mIAB-MT’s CU.</w:t>
            </w:r>
          </w:p>
          <w:p w14:paraId="2DC9527A" w14:textId="77777777" w:rsidR="003F78CD" w:rsidRPr="005A152F" w:rsidRDefault="003F78CD" w:rsidP="00AA427E">
            <w:pPr>
              <w:snapToGrid w:val="0"/>
              <w:spacing w:before="120" w:after="120"/>
              <w:rPr>
                <w:rStyle w:val="16"/>
                <w:rFonts w:ascii="Calibri" w:hAnsi="Calibri" w:cs="Calibri"/>
                <w:b/>
                <w:sz w:val="18"/>
              </w:rPr>
            </w:pPr>
            <w:r w:rsidRPr="005A152F">
              <w:rPr>
                <w:rStyle w:val="16"/>
                <w:rFonts w:ascii="Calibri" w:hAnsi="Calibri" w:cs="Calibri"/>
                <w:b/>
                <w:sz w:val="18"/>
              </w:rPr>
              <w:t>To be continued:</w:t>
            </w:r>
          </w:p>
          <w:p w14:paraId="16F8E048" w14:textId="4EBB7795" w:rsidR="003F78CD" w:rsidRPr="003F78CD" w:rsidRDefault="003F78CD" w:rsidP="00AA427E">
            <w:pPr>
              <w:snapToGrid w:val="0"/>
              <w:spacing w:before="120" w:after="120"/>
              <w:rPr>
                <w:rFonts w:ascii="Calibri" w:hAnsi="Calibri" w:cs="Calibri"/>
                <w:b/>
                <w:color w:val="0000FF"/>
                <w:sz w:val="18"/>
                <w:u w:val="single"/>
              </w:rPr>
            </w:pPr>
            <w:r w:rsidRPr="005A152F">
              <w:rPr>
                <w:rStyle w:val="16"/>
                <w:rFonts w:ascii="Calibri" w:hAnsi="Calibri" w:cs="Calibri"/>
                <w:b/>
                <w:sz w:val="18"/>
              </w:rPr>
              <w:t>Discuss whether the mIAB-DU’s CU is allowed to generate an XnAP UE ID for an mIAB-MT even if it has never terminated the RRC connection of the mIAB-MT.</w:t>
            </w:r>
          </w:p>
        </w:tc>
      </w:tr>
    </w:tbl>
    <w:p w14:paraId="53FF69EE" w14:textId="5147587C" w:rsidR="003F78CD" w:rsidRPr="003F78CD" w:rsidRDefault="003F78CD" w:rsidP="00AA427E">
      <w:pPr>
        <w:spacing w:before="120" w:after="120"/>
        <w:rPr>
          <w:bCs/>
        </w:rPr>
      </w:pPr>
      <w:r>
        <w:rPr>
          <w:bCs/>
        </w:rPr>
        <w:t xml:space="preserve">There is no reason to preclude the mIAB-DU’s CU from generating an XnAP UE ID for an mIAB-MT, even if this mIAB-MT has never connected to this CU. </w:t>
      </w:r>
      <w:r w:rsidR="00E528F3">
        <w:rPr>
          <w:bCs/>
        </w:rPr>
        <w:t xml:space="preserve">However, when </w:t>
      </w:r>
      <w:r w:rsidR="00AA427E">
        <w:rPr>
          <w:bCs/>
        </w:rPr>
        <w:t>the</w:t>
      </w:r>
      <w:r w:rsidR="0034790F">
        <w:rPr>
          <w:bCs/>
        </w:rPr>
        <w:t xml:space="preserve"> mIAB-DU’s CU is </w:t>
      </w:r>
      <w:r w:rsidR="00E528F3">
        <w:rPr>
          <w:bCs/>
        </w:rPr>
        <w:t xml:space="preserve">sending an Xn message to the mIAB-MT’s CU, it </w:t>
      </w:r>
      <w:r w:rsidR="0034790F">
        <w:rPr>
          <w:bCs/>
        </w:rPr>
        <w:t>always</w:t>
      </w:r>
      <w:r w:rsidR="00E528F3">
        <w:rPr>
          <w:bCs/>
        </w:rPr>
        <w:t xml:space="preserve"> </w:t>
      </w:r>
      <w:r w:rsidR="00AA427E">
        <w:rPr>
          <w:bCs/>
        </w:rPr>
        <w:t xml:space="preserve">needs to </w:t>
      </w:r>
      <w:r w:rsidR="00E528F3">
        <w:rPr>
          <w:bCs/>
        </w:rPr>
        <w:t>include the XnAP UE ID generated by the mIAB-MT’s CU</w:t>
      </w:r>
      <w:r w:rsidR="0034790F">
        <w:rPr>
          <w:bCs/>
        </w:rPr>
        <w:t xml:space="preserve"> for this mIAB-MT</w:t>
      </w:r>
      <w:r w:rsidR="00E528F3">
        <w:rPr>
          <w:bCs/>
        </w:rPr>
        <w:t xml:space="preserve">. This implies that the mIAB-DU’s CU can only generate and use an XnAP UE ID for an mIAB-MT if it has received the XnAP UE ID generated by the mIAB-MT’s CU for this mIAB-MT before. </w:t>
      </w:r>
    </w:p>
    <w:p w14:paraId="610CD53C" w14:textId="2740A8B6" w:rsidR="0034790F" w:rsidRPr="003F78CD" w:rsidRDefault="0034790F" w:rsidP="00AA427E">
      <w:pPr>
        <w:spacing w:before="120" w:after="120"/>
        <w:rPr>
          <w:bCs/>
        </w:rPr>
      </w:pPr>
      <w:r>
        <w:rPr>
          <w:b/>
        </w:rPr>
        <w:t>Proposal 3: The</w:t>
      </w:r>
      <w:r w:rsidRPr="003F78CD">
        <w:rPr>
          <w:b/>
        </w:rPr>
        <w:t xml:space="preserve"> mIAB-DU’s CU </w:t>
      </w:r>
      <w:r>
        <w:rPr>
          <w:b/>
        </w:rPr>
        <w:t xml:space="preserve">can </w:t>
      </w:r>
      <w:r w:rsidR="00761043">
        <w:rPr>
          <w:b/>
        </w:rPr>
        <w:t>initiate</w:t>
      </w:r>
      <w:r>
        <w:rPr>
          <w:b/>
        </w:rPr>
        <w:t xml:space="preserve"> an XnAP </w:t>
      </w:r>
      <w:r w:rsidR="00761043">
        <w:rPr>
          <w:b/>
        </w:rPr>
        <w:t>procedure</w:t>
      </w:r>
      <w:r>
        <w:rPr>
          <w:b/>
        </w:rPr>
        <w:t xml:space="preserve"> with the mIAB-MT’s CU</w:t>
      </w:r>
      <w:r w:rsidRPr="003F78CD">
        <w:rPr>
          <w:b/>
        </w:rPr>
        <w:t xml:space="preserve">, even if this mIAB-MT has never connected to this </w:t>
      </w:r>
      <w:r w:rsidR="00761043" w:rsidRPr="003F78CD">
        <w:rPr>
          <w:b/>
        </w:rPr>
        <w:t xml:space="preserve">mIAB-DU’s </w:t>
      </w:r>
      <w:r w:rsidRPr="003F78CD">
        <w:rPr>
          <w:b/>
        </w:rPr>
        <w:t>CU</w:t>
      </w:r>
      <w:r>
        <w:rPr>
          <w:b/>
        </w:rPr>
        <w:t xml:space="preserve">, </w:t>
      </w:r>
      <w:r w:rsidR="00761043">
        <w:rPr>
          <w:b/>
        </w:rPr>
        <w:t xml:space="preserve">but the </w:t>
      </w:r>
      <w:r w:rsidR="00761043" w:rsidRPr="003F78CD">
        <w:rPr>
          <w:b/>
        </w:rPr>
        <w:t>mIAB-DU’s CU</w:t>
      </w:r>
      <w:r w:rsidR="00761043">
        <w:rPr>
          <w:b/>
        </w:rPr>
        <w:t xml:space="preserve"> has to </w:t>
      </w:r>
      <w:r w:rsidR="00AA427E">
        <w:rPr>
          <w:b/>
        </w:rPr>
        <w:t xml:space="preserve">always </w:t>
      </w:r>
      <w:r>
        <w:rPr>
          <w:b/>
        </w:rPr>
        <w:t xml:space="preserve">include the XnAP UE ID generated by the mIAB-MT’s CU for the mIAB-MT into </w:t>
      </w:r>
      <w:r w:rsidR="00761043">
        <w:rPr>
          <w:b/>
        </w:rPr>
        <w:t>this Xn procedure.</w:t>
      </w:r>
      <w:r>
        <w:rPr>
          <w:bCs/>
        </w:rPr>
        <w:t xml:space="preserve"> </w:t>
      </w:r>
    </w:p>
    <w:p w14:paraId="16216614" w14:textId="28E282C5" w:rsidR="003F78CD" w:rsidRPr="003F78CD" w:rsidRDefault="003F78CD" w:rsidP="003F78CD">
      <w:pPr>
        <w:spacing w:before="120" w:after="120"/>
      </w:pPr>
    </w:p>
    <w:p w14:paraId="08622B14" w14:textId="619F0EA4" w:rsidR="009A2662" w:rsidRPr="009A2662" w:rsidRDefault="009A2662" w:rsidP="009A2662">
      <w:pPr>
        <w:pStyle w:val="Heading2"/>
      </w:pPr>
      <w:r w:rsidRPr="00D76CCE">
        <w:rPr>
          <w:highlight w:val="yellow"/>
        </w:rPr>
        <w:t xml:space="preserve">Issue </w:t>
      </w:r>
      <w:r>
        <w:rPr>
          <w:highlight w:val="yellow"/>
        </w:rPr>
        <w:t>4</w:t>
      </w:r>
      <w:r w:rsidRPr="00D76CCE">
        <w:rPr>
          <w:highlight w:val="yellow"/>
        </w:rPr>
        <w:t>:</w:t>
      </w:r>
      <w:r>
        <w:t xml:space="preserve"> </w:t>
      </w:r>
      <w:r w:rsidR="006C3BB0">
        <w:t>Release of BAP- and routing configurations</w:t>
      </w:r>
    </w:p>
    <w:p w14:paraId="391B623A" w14:textId="77777777" w:rsidR="009A2662" w:rsidRDefault="009A2662" w:rsidP="009A2662">
      <w:pPr>
        <w:pStyle w:val="Agreement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Chair notes from last meeting contain the following agreement and discussion points [1]: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487"/>
      </w:tblGrid>
      <w:tr w:rsidR="009A2662" w14:paraId="567E91FE" w14:textId="77777777" w:rsidTr="00B50755">
        <w:tc>
          <w:tcPr>
            <w:tcW w:w="9487" w:type="dxa"/>
          </w:tcPr>
          <w:p w14:paraId="682A739E" w14:textId="77777777" w:rsidR="009A2662" w:rsidRPr="005A152F" w:rsidRDefault="009A2662" w:rsidP="009A2662">
            <w:pPr>
              <w:spacing w:before="120" w:after="120"/>
              <w:rPr>
                <w:rFonts w:ascii="Calibri" w:hAnsi="Calibri" w:cs="Calibri"/>
              </w:rPr>
            </w:pPr>
            <w:r w:rsidRPr="005A152F">
              <w:rPr>
                <w:rStyle w:val="16"/>
                <w:rFonts w:ascii="Calibri" w:hAnsi="Calibri" w:cs="Calibri"/>
                <w:b/>
                <w:color w:val="008000"/>
                <w:sz w:val="18"/>
              </w:rPr>
              <w:t>For consecutive partial migration, after the mIAB-MT HO is completed, the mIAB-DU’s CU sends the IAB TRANSPORT MIGRATION MANAGEMENT REQUEST message to the mIAB-MT’s target CU, including the UE XnAP ID assigned to the mIAB-MT by the mIAB-MT’s target CU as the “Non-F1-Terminating IAB-donor UE XnAP ID”.</w:t>
            </w:r>
            <w:r w:rsidRPr="005A152F">
              <w:rPr>
                <w:rFonts w:ascii="Calibri" w:hAnsi="Calibri" w:cs="Calibri"/>
              </w:rPr>
              <w:t xml:space="preserve"> </w:t>
            </w:r>
          </w:p>
          <w:p w14:paraId="3FA2701B" w14:textId="77777777" w:rsidR="009A2662" w:rsidRPr="009A2662" w:rsidRDefault="009A2662" w:rsidP="009A2662">
            <w:pPr>
              <w:spacing w:before="120" w:after="120"/>
              <w:rPr>
                <w:rFonts w:ascii="Calibri" w:hAnsi="Calibri" w:cs="Calibri"/>
                <w:b/>
                <w:color w:val="0000FF"/>
                <w:sz w:val="18"/>
              </w:rPr>
            </w:pPr>
            <w:r w:rsidRPr="009A2662">
              <w:rPr>
                <w:rFonts w:ascii="Calibri" w:hAnsi="Calibri" w:cs="Calibri"/>
                <w:b/>
                <w:color w:val="0000FF"/>
                <w:sz w:val="18"/>
              </w:rPr>
              <w:t>To be continued:</w:t>
            </w:r>
          </w:p>
          <w:p w14:paraId="68C130EB" w14:textId="3E4B47B5" w:rsidR="009A2662" w:rsidRPr="009A2662" w:rsidRDefault="009A2662" w:rsidP="009A2662">
            <w:pPr>
              <w:spacing w:before="120" w:after="120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9A2662">
              <w:rPr>
                <w:rFonts w:ascii="Calibri" w:hAnsi="Calibri" w:cs="Calibri"/>
                <w:b/>
                <w:color w:val="0000FF"/>
                <w:sz w:val="18"/>
              </w:rPr>
              <w:t>FFS whether BH RLC and BAP routing configurations used in the non-F1 terminating topology for TMM with the mIAB-DU’s source CU need to be released after mIAB-DU migration.</w:t>
            </w:r>
          </w:p>
        </w:tc>
      </w:tr>
    </w:tbl>
    <w:p w14:paraId="41C82385" w14:textId="05EE4F9A" w:rsidR="009A2662" w:rsidRPr="003F78CD" w:rsidRDefault="002E081E" w:rsidP="002E081E">
      <w:pPr>
        <w:spacing w:before="120" w:after="120"/>
        <w:rPr>
          <w:bCs/>
        </w:rPr>
      </w:pPr>
      <w:r>
        <w:rPr>
          <w:bCs/>
        </w:rPr>
        <w:t>It is up to implementation w</w:t>
      </w:r>
      <w:r w:rsidR="006C3BB0">
        <w:rPr>
          <w:bCs/>
        </w:rPr>
        <w:t xml:space="preserve">hether, after mIAB-DU migration, the </w:t>
      </w:r>
      <w:r w:rsidR="006C3BB0" w:rsidRPr="006C3BB0">
        <w:rPr>
          <w:bCs/>
        </w:rPr>
        <w:t xml:space="preserve">BH RLC and BAP routing configurations used in the non-F1 terminating topology for TMM with the mIAB-DU’s source CU </w:t>
      </w:r>
      <w:r>
        <w:rPr>
          <w:bCs/>
        </w:rPr>
        <w:t>are</w:t>
      </w:r>
      <w:r w:rsidR="006C3BB0">
        <w:rPr>
          <w:bCs/>
        </w:rPr>
        <w:t xml:space="preserve"> released. They may be released in case there are not used anymore. However, the mIAB-MT’s CU may also decide to keep these configurations in case they are used for traffic offload </w:t>
      </w:r>
      <w:r>
        <w:rPr>
          <w:bCs/>
        </w:rPr>
        <w:t>by</w:t>
      </w:r>
      <w:r w:rsidR="006C3BB0">
        <w:rPr>
          <w:bCs/>
        </w:rPr>
        <w:t xml:space="preserve"> the target mIAB-DU’s CU.</w:t>
      </w:r>
    </w:p>
    <w:p w14:paraId="26FC8D5E" w14:textId="3D045640" w:rsidR="009A2662" w:rsidRPr="003F78CD" w:rsidRDefault="009A2662" w:rsidP="002E081E">
      <w:pPr>
        <w:spacing w:before="120" w:after="120"/>
        <w:rPr>
          <w:bCs/>
        </w:rPr>
      </w:pPr>
      <w:r>
        <w:rPr>
          <w:b/>
        </w:rPr>
        <w:t xml:space="preserve">Proposal </w:t>
      </w:r>
      <w:r w:rsidR="006C3BB0">
        <w:rPr>
          <w:b/>
        </w:rPr>
        <w:t>4</w:t>
      </w:r>
      <w:r>
        <w:rPr>
          <w:b/>
        </w:rPr>
        <w:t xml:space="preserve">: </w:t>
      </w:r>
      <w:r w:rsidR="002E081E">
        <w:rPr>
          <w:b/>
        </w:rPr>
        <w:t>It is up to implementation, w</w:t>
      </w:r>
      <w:r w:rsidR="006C3BB0" w:rsidRPr="006C3BB0">
        <w:rPr>
          <w:b/>
        </w:rPr>
        <w:t>hether, after mIAB-DU migration, the BH RLC and BAP routing configurations used in the non-F1 terminating topology for TMM with the mIAB-DU’s source CU are released.</w:t>
      </w:r>
    </w:p>
    <w:p w14:paraId="3411E97F" w14:textId="1E10F651" w:rsidR="008C1393" w:rsidRDefault="008C1393" w:rsidP="002E081E">
      <w:pPr>
        <w:spacing w:before="120" w:after="120"/>
        <w:rPr>
          <w:highlight w:val="yellow"/>
        </w:rPr>
      </w:pPr>
    </w:p>
    <w:p w14:paraId="4FFEFB89" w14:textId="5CA8906D" w:rsidR="005A71C1" w:rsidRPr="009A2662" w:rsidRDefault="005A71C1" w:rsidP="005A71C1">
      <w:pPr>
        <w:pStyle w:val="Heading2"/>
      </w:pPr>
      <w:r w:rsidRPr="00D76CCE">
        <w:rPr>
          <w:highlight w:val="yellow"/>
        </w:rPr>
        <w:lastRenderedPageBreak/>
        <w:t xml:space="preserve">Issue </w:t>
      </w:r>
      <w:r>
        <w:rPr>
          <w:highlight w:val="yellow"/>
        </w:rPr>
        <w:t>5</w:t>
      </w:r>
      <w:r w:rsidRPr="00D76CCE">
        <w:rPr>
          <w:highlight w:val="yellow"/>
        </w:rPr>
        <w:t>:</w:t>
      </w:r>
      <w:r>
        <w:t xml:space="preserve"> Operation in absence of Xn</w:t>
      </w:r>
    </w:p>
    <w:p w14:paraId="7769710D" w14:textId="439C41CA" w:rsidR="005A71C1" w:rsidRDefault="00594AA3" w:rsidP="00594AA3">
      <w:pPr>
        <w:spacing w:before="120" w:after="120"/>
        <w:rPr>
          <w:bCs/>
        </w:rPr>
      </w:pPr>
      <w:r>
        <w:rPr>
          <w:bCs/>
        </w:rPr>
        <w:t>In a prior meeting, RAN3 agreed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4AA3" w14:paraId="36973006" w14:textId="77777777" w:rsidTr="00594AA3">
        <w:tc>
          <w:tcPr>
            <w:tcW w:w="9631" w:type="dxa"/>
          </w:tcPr>
          <w:p w14:paraId="79B52D49" w14:textId="295836DA" w:rsidR="00594AA3" w:rsidRPr="00594AA3" w:rsidRDefault="00594AA3" w:rsidP="00594AA3">
            <w:pPr>
              <w:widowControl w:val="0"/>
              <w:spacing w:before="120" w:after="12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EA369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For scenarios without Xn, RAN3 to investigate whether IAB-related Xn signaling for partial migration and DU migration can be carried via NG using a container to avoid the impact on the AMF.</w:t>
            </w:r>
          </w:p>
        </w:tc>
      </w:tr>
    </w:tbl>
    <w:p w14:paraId="5C6BA762" w14:textId="3BAE7C16" w:rsidR="000B3985" w:rsidRDefault="000B3985" w:rsidP="00594AA3">
      <w:pPr>
        <w:spacing w:before="120" w:after="120"/>
        <w:rPr>
          <w:bCs/>
        </w:rPr>
      </w:pPr>
      <w:r>
        <w:rPr>
          <w:bCs/>
        </w:rPr>
        <w:t>In the last meeting, RAN3 discussed enhancements to NG handover for mIAB-MTs (R3-231901). It was proposed to include a “</w:t>
      </w:r>
      <w:r w:rsidR="00A03F68">
        <w:rPr>
          <w:bCs/>
        </w:rPr>
        <w:t>N</w:t>
      </w:r>
      <w:r>
        <w:rPr>
          <w:bCs/>
        </w:rPr>
        <w:t xml:space="preserve">o PDU </w:t>
      </w:r>
      <w:r w:rsidR="00A03F68">
        <w:rPr>
          <w:bCs/>
        </w:rPr>
        <w:t>S</w:t>
      </w:r>
      <w:r>
        <w:rPr>
          <w:bCs/>
        </w:rPr>
        <w:t>ession</w:t>
      </w:r>
      <w:r w:rsidR="00A03F68">
        <w:rPr>
          <w:bCs/>
        </w:rPr>
        <w:t xml:space="preserve"> Indication</w:t>
      </w:r>
      <w:r>
        <w:rPr>
          <w:bCs/>
        </w:rPr>
        <w:t xml:space="preserve">” in the NGAP HANDOVER REQUEST message to indicate to the mIAB-MT’s target CU that the mIAB-MT does not support a PDU session. There was strong support for such indicator. </w:t>
      </w:r>
    </w:p>
    <w:p w14:paraId="1557F78C" w14:textId="03EB32E1" w:rsidR="000B3985" w:rsidRDefault="000B3985" w:rsidP="00594AA3">
      <w:pPr>
        <w:spacing w:before="120" w:after="120"/>
        <w:rPr>
          <w:bCs/>
        </w:rPr>
      </w:pPr>
      <w:r>
        <w:rPr>
          <w:bCs/>
        </w:rPr>
        <w:t xml:space="preserve">It was further discussed if such </w:t>
      </w:r>
      <w:r w:rsidR="003408F8">
        <w:rPr>
          <w:bCs/>
        </w:rPr>
        <w:t>indication</w:t>
      </w:r>
      <w:r>
        <w:rPr>
          <w:bCs/>
        </w:rPr>
        <w:t xml:space="preserve"> would also have to be included in the NGAP HANDOVER REQUIRED message. Since the AMF knows whether the mIAB-MT supports PDU sessions or not, this </w:t>
      </w:r>
      <w:r w:rsidR="003408F8">
        <w:rPr>
          <w:bCs/>
        </w:rPr>
        <w:t>indication</w:t>
      </w:r>
      <w:r>
        <w:rPr>
          <w:bCs/>
        </w:rPr>
        <w:t xml:space="preserve"> is technically not necessary. One company, however, emphasized that having this </w:t>
      </w:r>
      <w:r w:rsidR="003408F8">
        <w:rPr>
          <w:bCs/>
        </w:rPr>
        <w:t>indication</w:t>
      </w:r>
      <w:r>
        <w:rPr>
          <w:bCs/>
        </w:rPr>
        <w:t xml:space="preserve"> in the NGAP HANDOVER REQUIRED message would align this enhancement with similar enhancements in the past</w:t>
      </w:r>
      <w:r w:rsidR="00914089">
        <w:rPr>
          <w:bCs/>
        </w:rPr>
        <w:t>,</w:t>
      </w:r>
      <w:r>
        <w:rPr>
          <w:bCs/>
        </w:rPr>
        <w:t xml:space="preserve"> where Xn signaling was migrated to NGAP.</w:t>
      </w:r>
    </w:p>
    <w:p w14:paraId="1892A696" w14:textId="37B2D59A" w:rsidR="000B3985" w:rsidRDefault="000B3985" w:rsidP="000B3985">
      <w:pPr>
        <w:spacing w:after="160" w:line="259" w:lineRule="auto"/>
        <w:rPr>
          <w:b/>
        </w:rPr>
      </w:pPr>
      <w:r>
        <w:rPr>
          <w:b/>
        </w:rPr>
        <w:t xml:space="preserve">Proposal 5a: </w:t>
      </w:r>
      <w:r w:rsidR="003408F8">
        <w:rPr>
          <w:b/>
        </w:rPr>
        <w:t>Include</w:t>
      </w:r>
      <w:r>
        <w:rPr>
          <w:b/>
        </w:rPr>
        <w:t xml:space="preserve"> </w:t>
      </w:r>
      <w:r w:rsidRPr="003408F8">
        <w:rPr>
          <w:b/>
        </w:rPr>
        <w:t>“</w:t>
      </w:r>
      <w:r w:rsidR="00A03F68" w:rsidRPr="003408F8">
        <w:rPr>
          <w:rFonts w:hint="eastAsia"/>
          <w:b/>
        </w:rPr>
        <w:t>N</w:t>
      </w:r>
      <w:r w:rsidR="00A03F68" w:rsidRPr="003408F8">
        <w:rPr>
          <w:b/>
        </w:rPr>
        <w:t>o PDU Session Indication</w:t>
      </w:r>
      <w:r w:rsidRPr="003408F8">
        <w:rPr>
          <w:b/>
        </w:rPr>
        <w:t>”</w:t>
      </w:r>
      <w:r>
        <w:rPr>
          <w:b/>
        </w:rPr>
        <w:t xml:space="preserve"> </w:t>
      </w:r>
      <w:r w:rsidR="003408F8">
        <w:rPr>
          <w:b/>
        </w:rPr>
        <w:t>in the NGAP HANDOVER REQUEST message.</w:t>
      </w:r>
    </w:p>
    <w:p w14:paraId="0A733E02" w14:textId="6AD615E6" w:rsidR="003408F8" w:rsidRDefault="003408F8" w:rsidP="003408F8">
      <w:pPr>
        <w:spacing w:after="160" w:line="259" w:lineRule="auto"/>
        <w:rPr>
          <w:b/>
        </w:rPr>
      </w:pPr>
      <w:r>
        <w:rPr>
          <w:b/>
        </w:rPr>
        <w:t xml:space="preserve">Proposal 5b: RAN3 to decide whether to also include the </w:t>
      </w:r>
      <w:r w:rsidRPr="003408F8">
        <w:rPr>
          <w:b/>
        </w:rPr>
        <w:t>“</w:t>
      </w:r>
      <w:r w:rsidRPr="003408F8">
        <w:rPr>
          <w:rFonts w:hint="eastAsia"/>
          <w:b/>
        </w:rPr>
        <w:t>N</w:t>
      </w:r>
      <w:r w:rsidRPr="003408F8">
        <w:rPr>
          <w:b/>
        </w:rPr>
        <w:t>o PDU Session Indication”</w:t>
      </w:r>
      <w:r>
        <w:rPr>
          <w:b/>
        </w:rPr>
        <w:t xml:space="preserve"> in the NGAP HANDOVER REQUIRED message.</w:t>
      </w:r>
    </w:p>
    <w:p w14:paraId="2322E81A" w14:textId="1C07BC9E" w:rsidR="005A71C1" w:rsidRDefault="003408F8" w:rsidP="00594AA3">
      <w:pPr>
        <w:spacing w:before="120" w:after="120"/>
        <w:rPr>
          <w:bCs/>
        </w:rPr>
      </w:pPr>
      <w:r>
        <w:rPr>
          <w:bCs/>
        </w:rPr>
        <w:t xml:space="preserve">In absence of Xn, it is further necessary to support the following Xn procedures via NGAP: </w:t>
      </w:r>
    </w:p>
    <w:p w14:paraId="1A840482" w14:textId="46E03522" w:rsidR="00594AA3" w:rsidRDefault="001E2007" w:rsidP="00594AA3">
      <w:pPr>
        <w:pStyle w:val="ListParagraph"/>
        <w:numPr>
          <w:ilvl w:val="0"/>
          <w:numId w:val="30"/>
        </w:numPr>
        <w:spacing w:before="120" w:after="120"/>
        <w:rPr>
          <w:bCs/>
        </w:rPr>
      </w:pPr>
      <w:r>
        <w:rPr>
          <w:bCs/>
        </w:rPr>
        <w:t xml:space="preserve">IAB </w:t>
      </w:r>
      <w:r w:rsidR="00594AA3">
        <w:rPr>
          <w:bCs/>
        </w:rPr>
        <w:t>XMM procedures</w:t>
      </w:r>
    </w:p>
    <w:p w14:paraId="37F7864C" w14:textId="28FB2C53" w:rsidR="001E2007" w:rsidRPr="00594AA3" w:rsidRDefault="001E2007" w:rsidP="00594AA3">
      <w:pPr>
        <w:pStyle w:val="ListParagraph"/>
        <w:numPr>
          <w:ilvl w:val="0"/>
          <w:numId w:val="30"/>
        </w:numPr>
        <w:spacing w:before="120" w:after="120"/>
        <w:rPr>
          <w:bCs/>
        </w:rPr>
      </w:pPr>
      <w:r>
        <w:rPr>
          <w:bCs/>
        </w:rPr>
        <w:t>IAB Resource Coordination procedure</w:t>
      </w:r>
    </w:p>
    <w:p w14:paraId="5CC8BFE4" w14:textId="77777777" w:rsidR="003408F8" w:rsidRDefault="003408F8" w:rsidP="005A71C1">
      <w:pPr>
        <w:spacing w:after="160" w:line="259" w:lineRule="auto"/>
        <w:rPr>
          <w:bCs/>
        </w:rPr>
      </w:pPr>
      <w:r>
        <w:rPr>
          <w:bCs/>
        </w:rPr>
        <w:t xml:space="preserve">All of these procedures use UE-associated signaling. </w:t>
      </w:r>
    </w:p>
    <w:p w14:paraId="0F47581F" w14:textId="28987E3D" w:rsidR="00594AA3" w:rsidRDefault="00594AA3" w:rsidP="005A71C1">
      <w:pPr>
        <w:spacing w:after="160" w:line="259" w:lineRule="auto"/>
        <w:rPr>
          <w:bCs/>
        </w:rPr>
      </w:pPr>
      <w:r>
        <w:rPr>
          <w:bCs/>
        </w:rPr>
        <w:t xml:space="preserve">Presently, NGAP does not support a </w:t>
      </w:r>
      <w:r w:rsidRPr="003408F8">
        <w:rPr>
          <w:bCs/>
          <w:u w:val="single"/>
        </w:rPr>
        <w:t>generic</w:t>
      </w:r>
      <w:r>
        <w:rPr>
          <w:bCs/>
        </w:rPr>
        <w:t xml:space="preserve"> signaling procedure for inter-gNB information exchange. </w:t>
      </w:r>
      <w:r w:rsidR="003408F8">
        <w:rPr>
          <w:bCs/>
        </w:rPr>
        <w:t>RAN3 could</w:t>
      </w:r>
      <w:r>
        <w:rPr>
          <w:bCs/>
        </w:rPr>
        <w:t xml:space="preserve"> </w:t>
      </w:r>
      <w:r w:rsidR="003408F8">
        <w:rPr>
          <w:bCs/>
        </w:rPr>
        <w:t>either introduce such a generic NGAP procedure, or, if this is not acceptable, an</w:t>
      </w:r>
      <w:r>
        <w:rPr>
          <w:bCs/>
        </w:rPr>
        <w:t xml:space="preserve"> IAB-specific NGAP procedure to carry the</w:t>
      </w:r>
      <w:r w:rsidR="003408F8">
        <w:rPr>
          <w:bCs/>
        </w:rPr>
        <w:t>se</w:t>
      </w:r>
      <w:r>
        <w:rPr>
          <w:bCs/>
        </w:rPr>
        <w:t xml:space="preserve"> </w:t>
      </w:r>
      <w:r w:rsidR="003408F8">
        <w:rPr>
          <w:bCs/>
        </w:rPr>
        <w:t>IAB messages.</w:t>
      </w:r>
    </w:p>
    <w:p w14:paraId="48D3972A" w14:textId="7D2FB503" w:rsidR="00A21446" w:rsidRDefault="00A21446" w:rsidP="00A21446">
      <w:pPr>
        <w:spacing w:after="160" w:line="259" w:lineRule="auto"/>
        <w:rPr>
          <w:b/>
        </w:rPr>
      </w:pPr>
      <w:r>
        <w:rPr>
          <w:b/>
        </w:rPr>
        <w:t xml:space="preserve">Proposal 5c: RAN3 to introduce a Class-1 NGAP inter-gNB information exchange procedure </w:t>
      </w:r>
      <w:r w:rsidR="00D33729">
        <w:rPr>
          <w:b/>
        </w:rPr>
        <w:t>for exchange of</w:t>
      </w:r>
      <w:r>
        <w:rPr>
          <w:b/>
        </w:rPr>
        <w:t xml:space="preserve"> IAB XMM messages and IAB Resource Coordination messages.</w:t>
      </w:r>
    </w:p>
    <w:p w14:paraId="2CBEEFBD" w14:textId="276AE8DB" w:rsidR="003408F8" w:rsidRDefault="005A71C1" w:rsidP="005A71C1">
      <w:pPr>
        <w:spacing w:after="160" w:line="259" w:lineRule="auto"/>
        <w:rPr>
          <w:b/>
        </w:rPr>
      </w:pPr>
      <w:r>
        <w:rPr>
          <w:b/>
        </w:rPr>
        <w:t xml:space="preserve">Proposal </w:t>
      </w:r>
      <w:r w:rsidR="00594AA3">
        <w:rPr>
          <w:b/>
        </w:rPr>
        <w:t>5</w:t>
      </w:r>
      <w:r w:rsidR="00A21446">
        <w:rPr>
          <w:b/>
        </w:rPr>
        <w:t>d</w:t>
      </w:r>
      <w:r>
        <w:rPr>
          <w:b/>
        </w:rPr>
        <w:t xml:space="preserve">: </w:t>
      </w:r>
      <w:r w:rsidR="003408F8">
        <w:rPr>
          <w:b/>
        </w:rPr>
        <w:t xml:space="preserve">RAN3 to decide whether </w:t>
      </w:r>
      <w:r w:rsidR="00A21446">
        <w:rPr>
          <w:b/>
        </w:rPr>
        <w:t xml:space="preserve">this procedure is </w:t>
      </w:r>
      <w:r w:rsidR="00A21446" w:rsidRPr="00A21446">
        <w:rPr>
          <w:b/>
          <w:i/>
          <w:iCs/>
        </w:rPr>
        <w:t>generic</w:t>
      </w:r>
      <w:r w:rsidR="00A21446">
        <w:rPr>
          <w:b/>
        </w:rPr>
        <w:t>, i.e., it can carry any information,</w:t>
      </w:r>
      <w:r w:rsidR="003408F8">
        <w:rPr>
          <w:b/>
        </w:rPr>
        <w:t xml:space="preserve"> or </w:t>
      </w:r>
      <w:r w:rsidR="003408F8" w:rsidRPr="003408F8">
        <w:rPr>
          <w:b/>
          <w:i/>
          <w:iCs/>
        </w:rPr>
        <w:t>IAB-specific</w:t>
      </w:r>
      <w:r w:rsidR="00A21446">
        <w:rPr>
          <w:b/>
        </w:rPr>
        <w:t>, i.e., limited to IAB-specific purposes.</w:t>
      </w:r>
    </w:p>
    <w:p w14:paraId="78F43737" w14:textId="77777777" w:rsidR="004E6AF6" w:rsidRDefault="004E6AF6" w:rsidP="005A71C1">
      <w:pPr>
        <w:spacing w:after="160" w:line="259" w:lineRule="auto"/>
        <w:rPr>
          <w:b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5936F772" w:rsidR="0096408F" w:rsidRDefault="0096408F" w:rsidP="004A66BE">
      <w:pPr>
        <w:snapToGrid w:val="0"/>
        <w:spacing w:before="120" w:after="240"/>
      </w:pPr>
      <w:r>
        <w:t xml:space="preserve">This contribution </w:t>
      </w:r>
      <w:r w:rsidR="00AB3861">
        <w:t>discussed issues</w:t>
      </w:r>
      <w:r w:rsidR="009A68CD">
        <w:t xml:space="preserve"> related </w:t>
      </w:r>
      <w:r w:rsidR="00AB3861">
        <w:t>to</w:t>
      </w:r>
      <w:r w:rsidR="009A68CD">
        <w:t xml:space="preserve"> mobile-IAB inter-donor migration procedures.</w:t>
      </w:r>
      <w:r>
        <w:t xml:space="preserve"> The following </w:t>
      </w:r>
      <w:r w:rsidR="009A68CD">
        <w:t xml:space="preserve">observations and </w:t>
      </w:r>
      <w:r>
        <w:t>proposals have been made:</w:t>
      </w:r>
    </w:p>
    <w:p w14:paraId="538C9F9E" w14:textId="77777777" w:rsidR="00157A0F" w:rsidRDefault="00157A0F" w:rsidP="004A66BE">
      <w:pPr>
        <w:snapToGrid w:val="0"/>
        <w:spacing w:before="120" w:after="240"/>
        <w:rPr>
          <w:u w:val="single"/>
        </w:rPr>
      </w:pPr>
      <w:r w:rsidRPr="00157A0F">
        <w:rPr>
          <w:u w:val="single"/>
        </w:rPr>
        <w:t>Issue 1: CU selection during mobile IAB-node integration</w:t>
      </w:r>
    </w:p>
    <w:p w14:paraId="31ABBE63" w14:textId="77777777" w:rsidR="00914089" w:rsidRDefault="00914089" w:rsidP="004A66BE">
      <w:pPr>
        <w:snapToGrid w:val="0"/>
        <w:spacing w:before="120" w:after="240"/>
        <w:rPr>
          <w:b/>
          <w:bCs/>
        </w:rPr>
      </w:pPr>
      <w:r w:rsidRPr="00EF0219">
        <w:rPr>
          <w:b/>
          <w:bCs/>
        </w:rPr>
        <w:t>Observation 1: Since DU migration and MT migration can select different donor-CUs, there is no reason to preclude DU and MT to select different donor-CUs during network integration.</w:t>
      </w:r>
    </w:p>
    <w:p w14:paraId="24B3997C" w14:textId="77777777" w:rsidR="00914089" w:rsidRDefault="00914089" w:rsidP="004A66BE">
      <w:pPr>
        <w:snapToGrid w:val="0"/>
        <w:spacing w:before="120" w:after="240"/>
        <w:rPr>
          <w:b/>
          <w:bCs/>
        </w:rPr>
      </w:pPr>
      <w:r w:rsidRPr="00EF0219">
        <w:rPr>
          <w:b/>
          <w:bCs/>
        </w:rPr>
        <w:t>Proposal</w:t>
      </w:r>
      <w:r>
        <w:rPr>
          <w:b/>
          <w:bCs/>
        </w:rPr>
        <w:t xml:space="preserve"> 1a</w:t>
      </w:r>
      <w:r w:rsidRPr="00EF0219">
        <w:rPr>
          <w:b/>
          <w:bCs/>
        </w:rPr>
        <w:t xml:space="preserve">: During </w:t>
      </w:r>
      <w:r>
        <w:rPr>
          <w:b/>
          <w:bCs/>
        </w:rPr>
        <w:t xml:space="preserve">mIAB </w:t>
      </w:r>
      <w:r w:rsidRPr="00EF0219">
        <w:rPr>
          <w:b/>
          <w:bCs/>
        </w:rPr>
        <w:t>network integration, the mIAB-MT and mIAB-DU can select different donor-CUs.</w:t>
      </w:r>
    </w:p>
    <w:p w14:paraId="41031A22" w14:textId="77777777" w:rsidR="004A66BE" w:rsidRPr="00766A4F" w:rsidRDefault="004A66BE" w:rsidP="004A66BE">
      <w:pPr>
        <w:snapToGrid w:val="0"/>
        <w:spacing w:before="120" w:after="240"/>
        <w:rPr>
          <w:b/>
          <w:bCs/>
        </w:rPr>
      </w:pPr>
      <w:r w:rsidRPr="00766A4F">
        <w:rPr>
          <w:b/>
          <w:bCs/>
        </w:rPr>
        <w:t xml:space="preserve">Proposal 1b: During mIAB network integration, the F1-terminating CU to obtain the gNB-ID of the RRC-terminating CU and the XnAP UE ID the RRC-terminating CU selected for the mIAB-MT. </w:t>
      </w:r>
    </w:p>
    <w:p w14:paraId="584E64A4" w14:textId="77777777" w:rsidR="004A66BE" w:rsidRDefault="004A66BE" w:rsidP="004A66BE">
      <w:pPr>
        <w:snapToGrid w:val="0"/>
        <w:spacing w:before="120" w:after="240"/>
        <w:rPr>
          <w:b/>
          <w:bCs/>
        </w:rPr>
      </w:pPr>
      <w:r>
        <w:rPr>
          <w:b/>
          <w:bCs/>
        </w:rPr>
        <w:t>Proposal 1c: During mIAB network integration, the RRC-terminating CU to select an XnAP UE ID for the mIAB-MT and pass this ID together with its gNB-ID to the mIAB-MT via RRC. The mIAB-DU to pass the XnAP UE ID and the gNB ID to the F1-terminating CU in the F1 Setup Request.</w:t>
      </w:r>
    </w:p>
    <w:p w14:paraId="3FA9C9A1" w14:textId="77777777" w:rsidR="00157A0F" w:rsidRPr="00157A0F" w:rsidRDefault="00157A0F" w:rsidP="004A66BE">
      <w:pPr>
        <w:snapToGrid w:val="0"/>
        <w:spacing w:before="120" w:after="240"/>
        <w:rPr>
          <w:u w:val="single"/>
        </w:rPr>
      </w:pPr>
      <w:r w:rsidRPr="00157A0F">
        <w:rPr>
          <w:u w:val="single"/>
        </w:rPr>
        <w:t>Issue 2: Passing of mIAB-MT’s CU ID and XnAP UE ID</w:t>
      </w:r>
    </w:p>
    <w:p w14:paraId="6AC98C66" w14:textId="77777777" w:rsidR="004A66BE" w:rsidRDefault="004A66BE" w:rsidP="004A66BE">
      <w:pPr>
        <w:spacing w:before="120" w:after="240"/>
        <w:rPr>
          <w:b/>
          <w:bCs/>
        </w:rPr>
      </w:pPr>
      <w:r w:rsidRPr="00D564D5">
        <w:rPr>
          <w:b/>
          <w:bCs/>
        </w:rPr>
        <w:lastRenderedPageBreak/>
        <w:t>Observation</w:t>
      </w:r>
      <w:r>
        <w:rPr>
          <w:b/>
          <w:bCs/>
        </w:rPr>
        <w:t xml:space="preserve"> 2a</w:t>
      </w:r>
      <w:r w:rsidRPr="00D564D5">
        <w:rPr>
          <w:b/>
          <w:bCs/>
        </w:rPr>
        <w:t xml:space="preserve">: </w:t>
      </w:r>
      <w:r>
        <w:rPr>
          <w:b/>
          <w:bCs/>
        </w:rPr>
        <w:t xml:space="preserve">During DU migration, </w:t>
      </w:r>
      <w:r w:rsidRPr="00F76A28">
        <w:rPr>
          <w:b/>
          <w:bCs/>
        </w:rPr>
        <w:t>Option A (XnAP signalling from the mIAB-DU’s source CU)</w:t>
      </w:r>
      <w:r>
        <w:rPr>
          <w:b/>
          <w:bCs/>
        </w:rPr>
        <w:t xml:space="preserve"> requires a new Xn signaling procedure. Also, Option A </w:t>
      </w:r>
      <w:r>
        <w:rPr>
          <w:b/>
          <w:bCs/>
          <w:u w:val="single"/>
        </w:rPr>
        <w:t>cannot</w:t>
      </w:r>
      <w:r>
        <w:rPr>
          <w:b/>
          <w:bCs/>
        </w:rPr>
        <w:t xml:space="preserve"> be used for mIAB-node integration. </w:t>
      </w:r>
    </w:p>
    <w:p w14:paraId="511C09AF" w14:textId="77777777" w:rsidR="004A66BE" w:rsidRDefault="004A66BE" w:rsidP="004A66BE">
      <w:pPr>
        <w:spacing w:before="120" w:after="240"/>
        <w:rPr>
          <w:b/>
          <w:bCs/>
        </w:rPr>
      </w:pPr>
      <w:r w:rsidRPr="00D564D5">
        <w:rPr>
          <w:b/>
          <w:bCs/>
        </w:rPr>
        <w:t>Observation</w:t>
      </w:r>
      <w:r>
        <w:rPr>
          <w:b/>
          <w:bCs/>
        </w:rPr>
        <w:t xml:space="preserve"> 2b</w:t>
      </w:r>
      <w:r w:rsidRPr="00D564D5">
        <w:rPr>
          <w:b/>
          <w:bCs/>
        </w:rPr>
        <w:t xml:space="preserve">: </w:t>
      </w:r>
      <w:r>
        <w:rPr>
          <w:b/>
          <w:bCs/>
        </w:rPr>
        <w:t xml:space="preserve">During DU migration, Option B </w:t>
      </w:r>
      <w:r w:rsidRPr="00F76A28">
        <w:rPr>
          <w:b/>
          <w:bCs/>
        </w:rPr>
        <w:t xml:space="preserve">(F1AP signalling from the target logical mIAB-DU) can reuse existing signaling. Option B </w:t>
      </w:r>
      <w:r w:rsidRPr="00F76A28">
        <w:rPr>
          <w:b/>
          <w:bCs/>
          <w:u w:val="single"/>
        </w:rPr>
        <w:t>can</w:t>
      </w:r>
      <w:r w:rsidRPr="00F76A28">
        <w:rPr>
          <w:b/>
          <w:bCs/>
        </w:rPr>
        <w:t xml:space="preserve"> also be used for mIAB-node integration.</w:t>
      </w:r>
    </w:p>
    <w:p w14:paraId="3BAC5651" w14:textId="77777777" w:rsidR="004A66BE" w:rsidRDefault="004A66BE" w:rsidP="004A66BE">
      <w:pPr>
        <w:spacing w:before="120" w:after="240"/>
        <w:rPr>
          <w:b/>
          <w:bCs/>
        </w:rPr>
      </w:pPr>
      <w:r w:rsidRPr="00D564D5">
        <w:rPr>
          <w:b/>
          <w:bCs/>
        </w:rPr>
        <w:t>Observation</w:t>
      </w:r>
      <w:r>
        <w:rPr>
          <w:b/>
          <w:bCs/>
        </w:rPr>
        <w:t xml:space="preserve"> 2c</w:t>
      </w:r>
      <w:r w:rsidRPr="00D564D5">
        <w:rPr>
          <w:b/>
          <w:bCs/>
        </w:rPr>
        <w:t xml:space="preserve">: </w:t>
      </w:r>
      <w:r>
        <w:rPr>
          <w:b/>
          <w:bCs/>
        </w:rPr>
        <w:t xml:space="preserve">During DU migration, Option B should also be applied for the passing of mIAB-MT’s Xn UE ID and mIAB-MT’s gNB-ID to the </w:t>
      </w:r>
      <w:r w:rsidRPr="003F78CD">
        <w:rPr>
          <w:b/>
          <w:bCs/>
          <w:u w:val="single"/>
        </w:rPr>
        <w:t>Source</w:t>
      </w:r>
      <w:r>
        <w:rPr>
          <w:b/>
          <w:bCs/>
        </w:rPr>
        <w:t xml:space="preserve"> mIAB-DU’s CU</w:t>
      </w:r>
      <w:r w:rsidRPr="00F76A28">
        <w:rPr>
          <w:b/>
          <w:bCs/>
        </w:rPr>
        <w:t>.</w:t>
      </w:r>
    </w:p>
    <w:p w14:paraId="66CEA529" w14:textId="77777777" w:rsidR="004A66BE" w:rsidRDefault="004A66BE" w:rsidP="004A66BE">
      <w:pPr>
        <w:spacing w:before="120" w:after="240"/>
        <w:rPr>
          <w:b/>
          <w:bCs/>
        </w:rPr>
      </w:pPr>
      <w:r>
        <w:rPr>
          <w:b/>
          <w:bCs/>
        </w:rPr>
        <w:t xml:space="preserve">Proposal 2a: During DU migration, Option B </w:t>
      </w:r>
      <w:r w:rsidRPr="00F76A28">
        <w:rPr>
          <w:b/>
          <w:bCs/>
        </w:rPr>
        <w:t>(F1AP signalling from the target logical mIAB-DU)</w:t>
      </w:r>
      <w:r>
        <w:rPr>
          <w:b/>
          <w:bCs/>
        </w:rPr>
        <w:t xml:space="preserve"> to be supported.</w:t>
      </w:r>
    </w:p>
    <w:p w14:paraId="20A2FFFF" w14:textId="77777777" w:rsidR="004A66BE" w:rsidRDefault="004A66BE" w:rsidP="004A66BE">
      <w:pPr>
        <w:spacing w:before="120" w:after="240"/>
        <w:rPr>
          <w:b/>
          <w:bCs/>
        </w:rPr>
      </w:pPr>
      <w:r>
        <w:rPr>
          <w:b/>
          <w:bCs/>
        </w:rPr>
        <w:t xml:space="preserve">Proposal 2b: In reversal of prior agreement, Option B also to be applied for the passing of mIAB-MT ID and MT’s gNB-ID to the </w:t>
      </w:r>
      <w:r w:rsidRPr="003F78CD">
        <w:rPr>
          <w:b/>
          <w:bCs/>
          <w:u w:val="single"/>
        </w:rPr>
        <w:t>Source</w:t>
      </w:r>
      <w:r>
        <w:rPr>
          <w:b/>
          <w:bCs/>
        </w:rPr>
        <w:t xml:space="preserve"> mIAB-DU’s CU(s).</w:t>
      </w:r>
    </w:p>
    <w:p w14:paraId="078DA387" w14:textId="77777777" w:rsidR="00157A0F" w:rsidRPr="00157A0F" w:rsidRDefault="00157A0F" w:rsidP="004A66BE">
      <w:pPr>
        <w:snapToGrid w:val="0"/>
        <w:spacing w:before="120" w:after="240"/>
        <w:rPr>
          <w:u w:val="single"/>
        </w:rPr>
      </w:pPr>
      <w:r w:rsidRPr="00157A0F">
        <w:rPr>
          <w:u w:val="single"/>
        </w:rPr>
        <w:t>Issue 3: Generation of XnAP UE ID for mIAB-MT</w:t>
      </w:r>
    </w:p>
    <w:p w14:paraId="5C9FD115" w14:textId="77777777" w:rsidR="004A66BE" w:rsidRPr="003F78CD" w:rsidRDefault="004A66BE" w:rsidP="004A66BE">
      <w:pPr>
        <w:spacing w:before="120" w:after="240"/>
        <w:rPr>
          <w:bCs/>
        </w:rPr>
      </w:pPr>
      <w:r>
        <w:rPr>
          <w:b/>
        </w:rPr>
        <w:t>Proposal 3: The</w:t>
      </w:r>
      <w:r w:rsidRPr="003F78CD">
        <w:rPr>
          <w:b/>
        </w:rPr>
        <w:t xml:space="preserve"> mIAB-DU’s CU </w:t>
      </w:r>
      <w:r>
        <w:rPr>
          <w:b/>
        </w:rPr>
        <w:t>can initiate an XnAP procedure with the mIAB-MT’s CU</w:t>
      </w:r>
      <w:r w:rsidRPr="003F78CD">
        <w:rPr>
          <w:b/>
        </w:rPr>
        <w:t>, even if this mIAB-MT has never connected to this mIAB-DU’s CU</w:t>
      </w:r>
      <w:r>
        <w:rPr>
          <w:b/>
        </w:rPr>
        <w:t xml:space="preserve">, but the </w:t>
      </w:r>
      <w:r w:rsidRPr="003F78CD">
        <w:rPr>
          <w:b/>
        </w:rPr>
        <w:t>mIAB-DU’s CU</w:t>
      </w:r>
      <w:r>
        <w:rPr>
          <w:b/>
        </w:rPr>
        <w:t xml:space="preserve"> has to always include the XnAP UE ID generated by the mIAB-MT’s CU for the mIAB-MT into this Xn procedure.</w:t>
      </w:r>
      <w:r>
        <w:rPr>
          <w:bCs/>
        </w:rPr>
        <w:t xml:space="preserve"> </w:t>
      </w:r>
    </w:p>
    <w:p w14:paraId="488D1A77" w14:textId="04F74BC0" w:rsidR="00157A0F" w:rsidRPr="00157A0F" w:rsidRDefault="00157A0F" w:rsidP="004A66BE">
      <w:pPr>
        <w:snapToGrid w:val="0"/>
        <w:spacing w:before="120" w:after="240"/>
        <w:rPr>
          <w:u w:val="single"/>
        </w:rPr>
      </w:pPr>
      <w:r w:rsidRPr="00157A0F">
        <w:rPr>
          <w:u w:val="single"/>
        </w:rPr>
        <w:t>Issue 4: Release of BAP- and routing configurations</w:t>
      </w:r>
    </w:p>
    <w:p w14:paraId="76BB3BBD" w14:textId="77777777" w:rsidR="004A66BE" w:rsidRPr="003F78CD" w:rsidRDefault="004A66BE" w:rsidP="004A66BE">
      <w:pPr>
        <w:spacing w:before="120" w:after="240"/>
        <w:rPr>
          <w:bCs/>
        </w:rPr>
      </w:pPr>
      <w:r>
        <w:rPr>
          <w:b/>
        </w:rPr>
        <w:t>Proposal 4: It is up to implementation, w</w:t>
      </w:r>
      <w:r w:rsidRPr="006C3BB0">
        <w:rPr>
          <w:b/>
        </w:rPr>
        <w:t>hether, after mIAB-DU migration, the BH RLC and BAP routing configurations used in the non-F1 terminating topology for TMM with the mIAB-DU’s source CU are released.</w:t>
      </w:r>
    </w:p>
    <w:p w14:paraId="6380DB19" w14:textId="77777777" w:rsidR="008C51AD" w:rsidRPr="008C51AD" w:rsidRDefault="008C51AD" w:rsidP="004A66BE">
      <w:pPr>
        <w:snapToGrid w:val="0"/>
        <w:spacing w:before="120" w:after="240"/>
        <w:rPr>
          <w:u w:val="single"/>
        </w:rPr>
      </w:pPr>
      <w:r w:rsidRPr="008C51AD">
        <w:rPr>
          <w:u w:val="single"/>
        </w:rPr>
        <w:t>Issue 5: Operation in absence of Xn</w:t>
      </w:r>
    </w:p>
    <w:p w14:paraId="46D8874B" w14:textId="77777777" w:rsidR="004A66BE" w:rsidRDefault="004A66BE" w:rsidP="004A66BE">
      <w:pPr>
        <w:spacing w:before="120" w:after="240"/>
        <w:rPr>
          <w:b/>
        </w:rPr>
      </w:pPr>
      <w:r>
        <w:rPr>
          <w:b/>
        </w:rPr>
        <w:t xml:space="preserve">Proposal 5a: Include </w:t>
      </w:r>
      <w:r w:rsidRPr="003408F8">
        <w:rPr>
          <w:b/>
        </w:rPr>
        <w:t>“</w:t>
      </w:r>
      <w:r w:rsidRPr="003408F8">
        <w:rPr>
          <w:rFonts w:hint="eastAsia"/>
          <w:b/>
        </w:rPr>
        <w:t>N</w:t>
      </w:r>
      <w:r w:rsidRPr="003408F8">
        <w:rPr>
          <w:b/>
        </w:rPr>
        <w:t>o PDU Session Indication”</w:t>
      </w:r>
      <w:r>
        <w:rPr>
          <w:b/>
        </w:rPr>
        <w:t xml:space="preserve"> in the NGAP HANDOVER REQUEST message.</w:t>
      </w:r>
    </w:p>
    <w:p w14:paraId="7BCB20A8" w14:textId="77777777" w:rsidR="004A66BE" w:rsidRDefault="004A66BE" w:rsidP="004A66BE">
      <w:pPr>
        <w:spacing w:before="120" w:after="240"/>
        <w:rPr>
          <w:b/>
        </w:rPr>
      </w:pPr>
      <w:r>
        <w:rPr>
          <w:b/>
        </w:rPr>
        <w:t xml:space="preserve">Proposal 5b: RAN3 to decide whether to also include the </w:t>
      </w:r>
      <w:r w:rsidRPr="003408F8">
        <w:rPr>
          <w:b/>
        </w:rPr>
        <w:t>“</w:t>
      </w:r>
      <w:r w:rsidRPr="003408F8">
        <w:rPr>
          <w:rFonts w:hint="eastAsia"/>
          <w:b/>
        </w:rPr>
        <w:t>N</w:t>
      </w:r>
      <w:r w:rsidRPr="003408F8">
        <w:rPr>
          <w:b/>
        </w:rPr>
        <w:t>o PDU Session Indication”</w:t>
      </w:r>
      <w:r>
        <w:rPr>
          <w:b/>
        </w:rPr>
        <w:t xml:space="preserve"> in the NGAP HANDOVER REQUIRED message.</w:t>
      </w:r>
    </w:p>
    <w:p w14:paraId="339952B6" w14:textId="7906B6E3" w:rsidR="004A66BE" w:rsidRDefault="004A66BE" w:rsidP="004A66BE">
      <w:pPr>
        <w:spacing w:before="120" w:after="240"/>
        <w:rPr>
          <w:b/>
        </w:rPr>
      </w:pPr>
      <w:r>
        <w:rPr>
          <w:b/>
        </w:rPr>
        <w:t>Proposal 5c: RAN3 to introduce a Class-1 NGAP inter-gNB information exchange procedure for exchange of IAB XMM messages and IAB Resource Coordination messages.</w:t>
      </w:r>
    </w:p>
    <w:p w14:paraId="1C06EE28" w14:textId="77777777" w:rsidR="004A66BE" w:rsidRDefault="004A66BE" w:rsidP="004A66BE">
      <w:pPr>
        <w:spacing w:before="120" w:after="240"/>
        <w:rPr>
          <w:b/>
        </w:rPr>
      </w:pPr>
      <w:r>
        <w:rPr>
          <w:b/>
        </w:rPr>
        <w:t xml:space="preserve">Proposal 5d: RAN3 to decide whether this procedure is </w:t>
      </w:r>
      <w:r w:rsidRPr="00A21446">
        <w:rPr>
          <w:b/>
          <w:i/>
          <w:iCs/>
        </w:rPr>
        <w:t>generic</w:t>
      </w:r>
      <w:r>
        <w:rPr>
          <w:b/>
        </w:rPr>
        <w:t xml:space="preserve">, i.e., it can carry any information, or </w:t>
      </w:r>
      <w:r w:rsidRPr="003408F8">
        <w:rPr>
          <w:b/>
          <w:i/>
          <w:iCs/>
        </w:rPr>
        <w:t>IAB-specific</w:t>
      </w:r>
      <w:r>
        <w:rPr>
          <w:b/>
        </w:rPr>
        <w:t>, i.e., limited to IAB-specific purposes.</w:t>
      </w:r>
    </w:p>
    <w:p w14:paraId="7F9A5B2E" w14:textId="1B80C4DC" w:rsidR="00CD4C7B" w:rsidRPr="00320A6B" w:rsidRDefault="00CD4C7B" w:rsidP="00993C96">
      <w:pPr>
        <w:pStyle w:val="Heading1"/>
      </w:pPr>
      <w:r w:rsidRPr="00320A6B">
        <w:t>References</w:t>
      </w:r>
    </w:p>
    <w:p w14:paraId="34A16E66" w14:textId="1A4061CF" w:rsidR="00713611" w:rsidRDefault="00044173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OLE_LINK52"/>
      <w:bookmarkStart w:id="1" w:name="OLE_LINK51"/>
      <w:bookmarkStart w:id="2" w:name="OLE_LINK50"/>
      <w:bookmarkStart w:id="3" w:name="_Ref490247806"/>
      <w:r>
        <w:rPr>
          <w:lang w:eastAsia="zh-CN"/>
        </w:rPr>
        <w:t xml:space="preserve">Chairman notes, </w:t>
      </w:r>
      <w:r w:rsidR="00713611" w:rsidRPr="00213E7A">
        <w:rPr>
          <w:lang w:val="en-US" w:eastAsia="zh-CN"/>
        </w:rPr>
        <w:t>TSG-RAN WG3</w:t>
      </w:r>
      <w:bookmarkEnd w:id="0"/>
      <w:bookmarkEnd w:id="1"/>
      <w:bookmarkEnd w:id="2"/>
      <w:r w:rsidR="00713611" w:rsidRPr="00213E7A">
        <w:rPr>
          <w:lang w:val="en-US" w:eastAsia="zh-CN"/>
        </w:rPr>
        <w:t xml:space="preserve"> Meeting #1</w:t>
      </w:r>
      <w:r w:rsidR="006A5209">
        <w:rPr>
          <w:lang w:val="en-US" w:eastAsia="zh-CN"/>
        </w:rPr>
        <w:t>1</w:t>
      </w:r>
      <w:r w:rsidR="00E62D5D">
        <w:rPr>
          <w:lang w:val="en-US" w:eastAsia="zh-CN"/>
        </w:rPr>
        <w:t>9bis-e</w:t>
      </w:r>
      <w:r w:rsidR="00713611" w:rsidRPr="00213E7A">
        <w:rPr>
          <w:lang w:val="en-US" w:eastAsia="zh-CN"/>
        </w:rPr>
        <w:t xml:space="preserve">, </w:t>
      </w:r>
      <w:r w:rsidR="00E62D5D">
        <w:rPr>
          <w:lang w:val="en-US" w:eastAsia="zh-CN"/>
        </w:rPr>
        <w:t>e-meeting</w:t>
      </w:r>
      <w:r w:rsidR="00713611" w:rsidRPr="00213E7A">
        <w:rPr>
          <w:lang w:val="en-US" w:eastAsia="zh-CN"/>
        </w:rPr>
        <w:t xml:space="preserve">, </w:t>
      </w:r>
      <w:r w:rsidR="00E62D5D">
        <w:rPr>
          <w:lang w:val="en-US" w:eastAsia="zh-CN"/>
        </w:rPr>
        <w:t>April</w:t>
      </w:r>
      <w:r w:rsidR="00713611" w:rsidRPr="00213E7A">
        <w:rPr>
          <w:lang w:val="en-US" w:eastAsia="zh-CN"/>
        </w:rPr>
        <w:t xml:space="preserve"> 202</w:t>
      </w:r>
      <w:r w:rsidR="00E62D5D">
        <w:rPr>
          <w:lang w:val="en-US" w:eastAsia="zh-CN"/>
        </w:rPr>
        <w:t>3</w:t>
      </w:r>
      <w:r w:rsidR="00713611" w:rsidRPr="00213E7A">
        <w:rPr>
          <w:lang w:val="en-US" w:eastAsia="zh-CN"/>
        </w:rPr>
        <w:t xml:space="preserve">.                                                                        </w:t>
      </w:r>
    </w:p>
    <w:bookmarkEnd w:id="3"/>
    <w:p w14:paraId="754D9306" w14:textId="0D071730" w:rsidR="00594AA3" w:rsidRDefault="00594AA3" w:rsidP="00594AA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WG3 Meeting #1</w:t>
      </w:r>
      <w:r>
        <w:rPr>
          <w:lang w:val="en-US" w:eastAsia="zh-CN"/>
        </w:rPr>
        <w:t>19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Toulouse, France, November 2022</w:t>
      </w:r>
      <w:r w:rsidRPr="00213E7A">
        <w:rPr>
          <w:lang w:val="en-US" w:eastAsia="zh-CN"/>
        </w:rPr>
        <w:t xml:space="preserve">.                                                                        </w:t>
      </w:r>
    </w:p>
    <w:p w14:paraId="18A8108C" w14:textId="73A2B866" w:rsidR="00080512" w:rsidRDefault="00080512" w:rsidP="00D8089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93D7B" w14:textId="77777777" w:rsidR="00E16F4B" w:rsidRDefault="00E16F4B">
      <w:r>
        <w:separator/>
      </w:r>
    </w:p>
  </w:endnote>
  <w:endnote w:type="continuationSeparator" w:id="0">
    <w:p w14:paraId="0A604219" w14:textId="77777777" w:rsidR="00E16F4B" w:rsidRDefault="00E1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AF20A" w14:textId="77777777" w:rsidR="00E16F4B" w:rsidRDefault="00E16F4B">
      <w:r>
        <w:separator/>
      </w:r>
    </w:p>
  </w:footnote>
  <w:footnote w:type="continuationSeparator" w:id="0">
    <w:p w14:paraId="18960533" w14:textId="77777777" w:rsidR="00E16F4B" w:rsidRDefault="00E16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7E58"/>
    <w:multiLevelType w:val="hybridMultilevel"/>
    <w:tmpl w:val="ECEA6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F7D1C"/>
    <w:multiLevelType w:val="hybridMultilevel"/>
    <w:tmpl w:val="04D22CEA"/>
    <w:lvl w:ilvl="0" w:tplc="3D9028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E6A03"/>
    <w:multiLevelType w:val="hybridMultilevel"/>
    <w:tmpl w:val="52621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983FD4"/>
    <w:multiLevelType w:val="hybridMultilevel"/>
    <w:tmpl w:val="E694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731AB"/>
    <w:multiLevelType w:val="hybridMultilevel"/>
    <w:tmpl w:val="FB6A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DF20741"/>
    <w:multiLevelType w:val="hybridMultilevel"/>
    <w:tmpl w:val="CDC81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05710"/>
    <w:multiLevelType w:val="hybridMultilevel"/>
    <w:tmpl w:val="6C6E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52F15"/>
    <w:multiLevelType w:val="hybridMultilevel"/>
    <w:tmpl w:val="39F8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767A3"/>
    <w:multiLevelType w:val="hybridMultilevel"/>
    <w:tmpl w:val="4F7EF462"/>
    <w:lvl w:ilvl="0" w:tplc="3D9028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963257"/>
    <w:multiLevelType w:val="hybridMultilevel"/>
    <w:tmpl w:val="D28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D60CE"/>
    <w:multiLevelType w:val="hybridMultilevel"/>
    <w:tmpl w:val="2D30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0D8"/>
    <w:multiLevelType w:val="hybridMultilevel"/>
    <w:tmpl w:val="9E0E2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7" w15:restartNumberingAfterBreak="0">
    <w:nsid w:val="7402408C"/>
    <w:multiLevelType w:val="hybridMultilevel"/>
    <w:tmpl w:val="C300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C54A5"/>
    <w:multiLevelType w:val="hybridMultilevel"/>
    <w:tmpl w:val="52621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95934">
    <w:abstractNumId w:val="11"/>
  </w:num>
  <w:num w:numId="2" w16cid:durableId="1145202652">
    <w:abstractNumId w:val="16"/>
  </w:num>
  <w:num w:numId="3" w16cid:durableId="446775667">
    <w:abstractNumId w:val="15"/>
  </w:num>
  <w:num w:numId="4" w16cid:durableId="232207417">
    <w:abstractNumId w:val="18"/>
  </w:num>
  <w:num w:numId="5" w16cid:durableId="2103141957">
    <w:abstractNumId w:val="12"/>
  </w:num>
  <w:num w:numId="6" w16cid:durableId="1145314427">
    <w:abstractNumId w:val="2"/>
  </w:num>
  <w:num w:numId="7" w16cid:durableId="1049499485">
    <w:abstractNumId w:val="5"/>
  </w:num>
  <w:num w:numId="8" w16cid:durableId="1285892933">
    <w:abstractNumId w:val="0"/>
  </w:num>
  <w:num w:numId="9" w16cid:durableId="1872450421">
    <w:abstractNumId w:val="16"/>
  </w:num>
  <w:num w:numId="10" w16cid:durableId="430978753">
    <w:abstractNumId w:val="14"/>
  </w:num>
  <w:num w:numId="11" w16cid:durableId="58408255">
    <w:abstractNumId w:val="16"/>
  </w:num>
  <w:num w:numId="12" w16cid:durableId="2130471012">
    <w:abstractNumId w:val="16"/>
  </w:num>
  <w:num w:numId="13" w16cid:durableId="1185557473">
    <w:abstractNumId w:val="16"/>
  </w:num>
  <w:num w:numId="14" w16cid:durableId="1096635148">
    <w:abstractNumId w:val="16"/>
  </w:num>
  <w:num w:numId="15" w16cid:durableId="2126775253">
    <w:abstractNumId w:val="16"/>
  </w:num>
  <w:num w:numId="16" w16cid:durableId="988480931">
    <w:abstractNumId w:val="16"/>
  </w:num>
  <w:num w:numId="17" w16cid:durableId="1390573366">
    <w:abstractNumId w:val="16"/>
  </w:num>
  <w:num w:numId="18" w16cid:durableId="1323268711">
    <w:abstractNumId w:val="8"/>
  </w:num>
  <w:num w:numId="19" w16cid:durableId="155074071">
    <w:abstractNumId w:val="16"/>
  </w:num>
  <w:num w:numId="20" w16cid:durableId="1969509300">
    <w:abstractNumId w:val="16"/>
  </w:num>
  <w:num w:numId="21" w16cid:durableId="887378619">
    <w:abstractNumId w:val="1"/>
  </w:num>
  <w:num w:numId="22" w16cid:durableId="472331912">
    <w:abstractNumId w:val="10"/>
  </w:num>
  <w:num w:numId="23" w16cid:durableId="2110272792">
    <w:abstractNumId w:val="9"/>
  </w:num>
  <w:num w:numId="24" w16cid:durableId="1922715219">
    <w:abstractNumId w:val="4"/>
  </w:num>
  <w:num w:numId="25" w16cid:durableId="272367804">
    <w:abstractNumId w:val="3"/>
  </w:num>
  <w:num w:numId="26" w16cid:durableId="650133289">
    <w:abstractNumId w:val="13"/>
  </w:num>
  <w:num w:numId="27" w16cid:durableId="1038892141">
    <w:abstractNumId w:val="16"/>
  </w:num>
  <w:num w:numId="28" w16cid:durableId="1749882044">
    <w:abstractNumId w:val="17"/>
  </w:num>
  <w:num w:numId="29" w16cid:durableId="932858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94303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39F6"/>
    <w:rsid w:val="0000409B"/>
    <w:rsid w:val="000064F6"/>
    <w:rsid w:val="00006EBD"/>
    <w:rsid w:val="00006FF8"/>
    <w:rsid w:val="000100FB"/>
    <w:rsid w:val="00010161"/>
    <w:rsid w:val="00010B25"/>
    <w:rsid w:val="00011189"/>
    <w:rsid w:val="00012887"/>
    <w:rsid w:val="00013C23"/>
    <w:rsid w:val="000147A7"/>
    <w:rsid w:val="000152D3"/>
    <w:rsid w:val="0001792B"/>
    <w:rsid w:val="0001796A"/>
    <w:rsid w:val="000205B8"/>
    <w:rsid w:val="00020686"/>
    <w:rsid w:val="00021346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2160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3171"/>
    <w:rsid w:val="00056B91"/>
    <w:rsid w:val="00056DB2"/>
    <w:rsid w:val="00060212"/>
    <w:rsid w:val="0006135D"/>
    <w:rsid w:val="00061505"/>
    <w:rsid w:val="00065659"/>
    <w:rsid w:val="00065D6B"/>
    <w:rsid w:val="00065EDF"/>
    <w:rsid w:val="00066096"/>
    <w:rsid w:val="00071167"/>
    <w:rsid w:val="000716A1"/>
    <w:rsid w:val="000732E0"/>
    <w:rsid w:val="00073EB1"/>
    <w:rsid w:val="00074261"/>
    <w:rsid w:val="00075A9D"/>
    <w:rsid w:val="0007762E"/>
    <w:rsid w:val="00077C88"/>
    <w:rsid w:val="00080512"/>
    <w:rsid w:val="000812F8"/>
    <w:rsid w:val="00083B66"/>
    <w:rsid w:val="00084591"/>
    <w:rsid w:val="000860E7"/>
    <w:rsid w:val="0008762B"/>
    <w:rsid w:val="00087E3D"/>
    <w:rsid w:val="00090401"/>
    <w:rsid w:val="00090468"/>
    <w:rsid w:val="000926D3"/>
    <w:rsid w:val="00093164"/>
    <w:rsid w:val="00093ADD"/>
    <w:rsid w:val="00096258"/>
    <w:rsid w:val="0009788E"/>
    <w:rsid w:val="000A050C"/>
    <w:rsid w:val="000A174A"/>
    <w:rsid w:val="000A3F9B"/>
    <w:rsid w:val="000A5AD5"/>
    <w:rsid w:val="000B0C46"/>
    <w:rsid w:val="000B19D0"/>
    <w:rsid w:val="000B21D7"/>
    <w:rsid w:val="000B3985"/>
    <w:rsid w:val="000B4D19"/>
    <w:rsid w:val="000B72C5"/>
    <w:rsid w:val="000B7BCF"/>
    <w:rsid w:val="000C0524"/>
    <w:rsid w:val="000C170F"/>
    <w:rsid w:val="000C285F"/>
    <w:rsid w:val="000C2CA3"/>
    <w:rsid w:val="000C2D34"/>
    <w:rsid w:val="000C415C"/>
    <w:rsid w:val="000C416C"/>
    <w:rsid w:val="000C4560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1232"/>
    <w:rsid w:val="00101BA1"/>
    <w:rsid w:val="00102DAD"/>
    <w:rsid w:val="00104704"/>
    <w:rsid w:val="00106455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20844"/>
    <w:rsid w:val="00120C85"/>
    <w:rsid w:val="00121FB7"/>
    <w:rsid w:val="00122250"/>
    <w:rsid w:val="001224F1"/>
    <w:rsid w:val="00122700"/>
    <w:rsid w:val="00123DB1"/>
    <w:rsid w:val="001241A8"/>
    <w:rsid w:val="00124B3D"/>
    <w:rsid w:val="00126209"/>
    <w:rsid w:val="00126D29"/>
    <w:rsid w:val="00130949"/>
    <w:rsid w:val="00130FE9"/>
    <w:rsid w:val="00131467"/>
    <w:rsid w:val="00131495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B8F"/>
    <w:rsid w:val="0015058A"/>
    <w:rsid w:val="00150D97"/>
    <w:rsid w:val="00152357"/>
    <w:rsid w:val="001551A5"/>
    <w:rsid w:val="001568A4"/>
    <w:rsid w:val="00157634"/>
    <w:rsid w:val="0015777C"/>
    <w:rsid w:val="00157A0F"/>
    <w:rsid w:val="00157B0B"/>
    <w:rsid w:val="00160171"/>
    <w:rsid w:val="0016098E"/>
    <w:rsid w:val="00160AF6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6EB4"/>
    <w:rsid w:val="00167246"/>
    <w:rsid w:val="00167A87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1A75"/>
    <w:rsid w:val="001822E5"/>
    <w:rsid w:val="00182DE1"/>
    <w:rsid w:val="00183165"/>
    <w:rsid w:val="001833C6"/>
    <w:rsid w:val="00183953"/>
    <w:rsid w:val="00186DE6"/>
    <w:rsid w:val="00190C58"/>
    <w:rsid w:val="00194CC5"/>
    <w:rsid w:val="00194CD0"/>
    <w:rsid w:val="00196C23"/>
    <w:rsid w:val="0019788E"/>
    <w:rsid w:val="001A16DE"/>
    <w:rsid w:val="001A2942"/>
    <w:rsid w:val="001A2B4C"/>
    <w:rsid w:val="001A5335"/>
    <w:rsid w:val="001A6D8E"/>
    <w:rsid w:val="001A7342"/>
    <w:rsid w:val="001A773C"/>
    <w:rsid w:val="001A7BA3"/>
    <w:rsid w:val="001B39BC"/>
    <w:rsid w:val="001B3DF2"/>
    <w:rsid w:val="001B49C9"/>
    <w:rsid w:val="001B560A"/>
    <w:rsid w:val="001B5FCC"/>
    <w:rsid w:val="001B6282"/>
    <w:rsid w:val="001B720E"/>
    <w:rsid w:val="001C01CB"/>
    <w:rsid w:val="001C060E"/>
    <w:rsid w:val="001C0CD7"/>
    <w:rsid w:val="001C28B2"/>
    <w:rsid w:val="001C28DA"/>
    <w:rsid w:val="001C2B2E"/>
    <w:rsid w:val="001C595C"/>
    <w:rsid w:val="001D379F"/>
    <w:rsid w:val="001D3A7D"/>
    <w:rsid w:val="001D40EA"/>
    <w:rsid w:val="001D4630"/>
    <w:rsid w:val="001D4FB0"/>
    <w:rsid w:val="001D599B"/>
    <w:rsid w:val="001D6CF3"/>
    <w:rsid w:val="001D6DC6"/>
    <w:rsid w:val="001E2007"/>
    <w:rsid w:val="001E284D"/>
    <w:rsid w:val="001E53A0"/>
    <w:rsid w:val="001E5C04"/>
    <w:rsid w:val="001E70D7"/>
    <w:rsid w:val="001F168B"/>
    <w:rsid w:val="001F1CFE"/>
    <w:rsid w:val="001F2E7F"/>
    <w:rsid w:val="001F34F3"/>
    <w:rsid w:val="001F4187"/>
    <w:rsid w:val="001F5C26"/>
    <w:rsid w:val="001F5C44"/>
    <w:rsid w:val="001F5CC4"/>
    <w:rsid w:val="001F632B"/>
    <w:rsid w:val="001F7831"/>
    <w:rsid w:val="0020111A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25F"/>
    <w:rsid w:val="00206ED3"/>
    <w:rsid w:val="00207079"/>
    <w:rsid w:val="00211309"/>
    <w:rsid w:val="00211C40"/>
    <w:rsid w:val="0021353E"/>
    <w:rsid w:val="002138DD"/>
    <w:rsid w:val="00213E7A"/>
    <w:rsid w:val="002148B0"/>
    <w:rsid w:val="00214E95"/>
    <w:rsid w:val="00215C7D"/>
    <w:rsid w:val="00216471"/>
    <w:rsid w:val="00216FA7"/>
    <w:rsid w:val="002217C0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268AE"/>
    <w:rsid w:val="002325F2"/>
    <w:rsid w:val="00233196"/>
    <w:rsid w:val="002335F9"/>
    <w:rsid w:val="00233A4C"/>
    <w:rsid w:val="00235144"/>
    <w:rsid w:val="0023607B"/>
    <w:rsid w:val="00236E01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60AE7"/>
    <w:rsid w:val="00262113"/>
    <w:rsid w:val="00262EDD"/>
    <w:rsid w:val="0026614D"/>
    <w:rsid w:val="00266702"/>
    <w:rsid w:val="0026699C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3238"/>
    <w:rsid w:val="002855BF"/>
    <w:rsid w:val="002879DE"/>
    <w:rsid w:val="00290FC1"/>
    <w:rsid w:val="002917DD"/>
    <w:rsid w:val="00293031"/>
    <w:rsid w:val="00293D82"/>
    <w:rsid w:val="00293E6F"/>
    <w:rsid w:val="002956AA"/>
    <w:rsid w:val="00295765"/>
    <w:rsid w:val="002966A8"/>
    <w:rsid w:val="002967F0"/>
    <w:rsid w:val="002A00A9"/>
    <w:rsid w:val="002A09FF"/>
    <w:rsid w:val="002A327D"/>
    <w:rsid w:val="002A4AD1"/>
    <w:rsid w:val="002A510C"/>
    <w:rsid w:val="002A577D"/>
    <w:rsid w:val="002A717B"/>
    <w:rsid w:val="002B17AD"/>
    <w:rsid w:val="002B2B36"/>
    <w:rsid w:val="002B4AC3"/>
    <w:rsid w:val="002B69DE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61FD"/>
    <w:rsid w:val="002E7B35"/>
    <w:rsid w:val="002F0D22"/>
    <w:rsid w:val="002F1ED3"/>
    <w:rsid w:val="002F2327"/>
    <w:rsid w:val="002F267E"/>
    <w:rsid w:val="002F3C58"/>
    <w:rsid w:val="002F4EB5"/>
    <w:rsid w:val="002F61D6"/>
    <w:rsid w:val="002F67D1"/>
    <w:rsid w:val="002F6BC2"/>
    <w:rsid w:val="0030002C"/>
    <w:rsid w:val="003007BF"/>
    <w:rsid w:val="0030112A"/>
    <w:rsid w:val="0030249C"/>
    <w:rsid w:val="00305ECA"/>
    <w:rsid w:val="00306271"/>
    <w:rsid w:val="00311E70"/>
    <w:rsid w:val="00312D34"/>
    <w:rsid w:val="00313562"/>
    <w:rsid w:val="003136AE"/>
    <w:rsid w:val="00314064"/>
    <w:rsid w:val="00314429"/>
    <w:rsid w:val="0031467C"/>
    <w:rsid w:val="00316444"/>
    <w:rsid w:val="0031649C"/>
    <w:rsid w:val="00316792"/>
    <w:rsid w:val="003169A2"/>
    <w:rsid w:val="003172DC"/>
    <w:rsid w:val="003176E2"/>
    <w:rsid w:val="00320A6B"/>
    <w:rsid w:val="00320E41"/>
    <w:rsid w:val="00321520"/>
    <w:rsid w:val="00322D89"/>
    <w:rsid w:val="00323500"/>
    <w:rsid w:val="00326069"/>
    <w:rsid w:val="00326242"/>
    <w:rsid w:val="00326661"/>
    <w:rsid w:val="00330542"/>
    <w:rsid w:val="00331D99"/>
    <w:rsid w:val="0033423E"/>
    <w:rsid w:val="00335983"/>
    <w:rsid w:val="003360BD"/>
    <w:rsid w:val="00336957"/>
    <w:rsid w:val="00336CEE"/>
    <w:rsid w:val="00336E72"/>
    <w:rsid w:val="00337B1A"/>
    <w:rsid w:val="003408F8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4790F"/>
    <w:rsid w:val="00347974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1CFA"/>
    <w:rsid w:val="00362020"/>
    <w:rsid w:val="00362050"/>
    <w:rsid w:val="00365F68"/>
    <w:rsid w:val="00366CBB"/>
    <w:rsid w:val="003671E2"/>
    <w:rsid w:val="0036720B"/>
    <w:rsid w:val="00371744"/>
    <w:rsid w:val="00372D36"/>
    <w:rsid w:val="00372DAD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D19"/>
    <w:rsid w:val="00384E6A"/>
    <w:rsid w:val="003860EA"/>
    <w:rsid w:val="0038677D"/>
    <w:rsid w:val="0039145F"/>
    <w:rsid w:val="003921CE"/>
    <w:rsid w:val="00393B29"/>
    <w:rsid w:val="00394322"/>
    <w:rsid w:val="00394B46"/>
    <w:rsid w:val="00395806"/>
    <w:rsid w:val="003A07EE"/>
    <w:rsid w:val="003A1265"/>
    <w:rsid w:val="003A16C0"/>
    <w:rsid w:val="003A3EA0"/>
    <w:rsid w:val="003A3EBC"/>
    <w:rsid w:val="003A40EE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91C"/>
    <w:rsid w:val="003E4A6A"/>
    <w:rsid w:val="003E4C78"/>
    <w:rsid w:val="003E4DDA"/>
    <w:rsid w:val="003E588D"/>
    <w:rsid w:val="003E5BA6"/>
    <w:rsid w:val="003E6C37"/>
    <w:rsid w:val="003E6D72"/>
    <w:rsid w:val="003F037E"/>
    <w:rsid w:val="003F0B44"/>
    <w:rsid w:val="003F1AF2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64D"/>
    <w:rsid w:val="00402B5B"/>
    <w:rsid w:val="004032C7"/>
    <w:rsid w:val="00405800"/>
    <w:rsid w:val="00407E03"/>
    <w:rsid w:val="00410637"/>
    <w:rsid w:val="004123E8"/>
    <w:rsid w:val="00412662"/>
    <w:rsid w:val="0041296E"/>
    <w:rsid w:val="00413825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422F"/>
    <w:rsid w:val="00435311"/>
    <w:rsid w:val="004356CA"/>
    <w:rsid w:val="004378F1"/>
    <w:rsid w:val="00437E0C"/>
    <w:rsid w:val="00440961"/>
    <w:rsid w:val="00440AA6"/>
    <w:rsid w:val="004428C9"/>
    <w:rsid w:val="00443341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0E76"/>
    <w:rsid w:val="00471B44"/>
    <w:rsid w:val="00471CDE"/>
    <w:rsid w:val="0047331C"/>
    <w:rsid w:val="00474C33"/>
    <w:rsid w:val="0047536C"/>
    <w:rsid w:val="00476CAD"/>
    <w:rsid w:val="00477455"/>
    <w:rsid w:val="004804F9"/>
    <w:rsid w:val="004807E3"/>
    <w:rsid w:val="00480D2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0CBC"/>
    <w:rsid w:val="004A2B72"/>
    <w:rsid w:val="004A32F3"/>
    <w:rsid w:val="004A3938"/>
    <w:rsid w:val="004A455F"/>
    <w:rsid w:val="004A4700"/>
    <w:rsid w:val="004A59FA"/>
    <w:rsid w:val="004A66BE"/>
    <w:rsid w:val="004A68F4"/>
    <w:rsid w:val="004A7304"/>
    <w:rsid w:val="004B20E3"/>
    <w:rsid w:val="004B39DD"/>
    <w:rsid w:val="004B41F8"/>
    <w:rsid w:val="004B5CED"/>
    <w:rsid w:val="004B6073"/>
    <w:rsid w:val="004B68D7"/>
    <w:rsid w:val="004B7120"/>
    <w:rsid w:val="004C1531"/>
    <w:rsid w:val="004C1803"/>
    <w:rsid w:val="004C1974"/>
    <w:rsid w:val="004C229D"/>
    <w:rsid w:val="004C2E68"/>
    <w:rsid w:val="004C36D6"/>
    <w:rsid w:val="004C5A95"/>
    <w:rsid w:val="004C6BCC"/>
    <w:rsid w:val="004C7E7C"/>
    <w:rsid w:val="004D1DC6"/>
    <w:rsid w:val="004D34F9"/>
    <w:rsid w:val="004D3578"/>
    <w:rsid w:val="004D380D"/>
    <w:rsid w:val="004D4073"/>
    <w:rsid w:val="004E0C79"/>
    <w:rsid w:val="004E213A"/>
    <w:rsid w:val="004E2917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502735"/>
    <w:rsid w:val="00502BC6"/>
    <w:rsid w:val="00503171"/>
    <w:rsid w:val="005037A0"/>
    <w:rsid w:val="00503B86"/>
    <w:rsid w:val="00505688"/>
    <w:rsid w:val="00506C28"/>
    <w:rsid w:val="00511867"/>
    <w:rsid w:val="00511F56"/>
    <w:rsid w:val="0051299A"/>
    <w:rsid w:val="00514D10"/>
    <w:rsid w:val="00516518"/>
    <w:rsid w:val="005169F2"/>
    <w:rsid w:val="00516AC5"/>
    <w:rsid w:val="0051770A"/>
    <w:rsid w:val="00522344"/>
    <w:rsid w:val="00522978"/>
    <w:rsid w:val="0052314A"/>
    <w:rsid w:val="005234CD"/>
    <w:rsid w:val="00523FEE"/>
    <w:rsid w:val="00526A29"/>
    <w:rsid w:val="00527DE0"/>
    <w:rsid w:val="00532A92"/>
    <w:rsid w:val="00534312"/>
    <w:rsid w:val="00534DA0"/>
    <w:rsid w:val="0053506A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1ED5"/>
    <w:rsid w:val="00551ED6"/>
    <w:rsid w:val="00551F97"/>
    <w:rsid w:val="00552886"/>
    <w:rsid w:val="00552D11"/>
    <w:rsid w:val="00553021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3B7D"/>
    <w:rsid w:val="00573DDF"/>
    <w:rsid w:val="005740A5"/>
    <w:rsid w:val="0057442F"/>
    <w:rsid w:val="00574881"/>
    <w:rsid w:val="0057551C"/>
    <w:rsid w:val="0057656C"/>
    <w:rsid w:val="00577E61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38B5"/>
    <w:rsid w:val="00593B6E"/>
    <w:rsid w:val="00594AA3"/>
    <w:rsid w:val="0059501A"/>
    <w:rsid w:val="00595AC6"/>
    <w:rsid w:val="00595D37"/>
    <w:rsid w:val="00595E0D"/>
    <w:rsid w:val="00596A54"/>
    <w:rsid w:val="00597AA1"/>
    <w:rsid w:val="005A0B84"/>
    <w:rsid w:val="005A14B6"/>
    <w:rsid w:val="005A166D"/>
    <w:rsid w:val="005A2CAD"/>
    <w:rsid w:val="005A6916"/>
    <w:rsid w:val="005A71C1"/>
    <w:rsid w:val="005B1DC5"/>
    <w:rsid w:val="005B249B"/>
    <w:rsid w:val="005B25C1"/>
    <w:rsid w:val="005B3C9A"/>
    <w:rsid w:val="005B46AD"/>
    <w:rsid w:val="005C0207"/>
    <w:rsid w:val="005C15EC"/>
    <w:rsid w:val="005C25FE"/>
    <w:rsid w:val="005C268D"/>
    <w:rsid w:val="005C2845"/>
    <w:rsid w:val="005C3BB4"/>
    <w:rsid w:val="005C43EE"/>
    <w:rsid w:val="005C528A"/>
    <w:rsid w:val="005C5C31"/>
    <w:rsid w:val="005C7E45"/>
    <w:rsid w:val="005D30D4"/>
    <w:rsid w:val="005D3515"/>
    <w:rsid w:val="005D5447"/>
    <w:rsid w:val="005D661E"/>
    <w:rsid w:val="005E13E6"/>
    <w:rsid w:val="005E1A07"/>
    <w:rsid w:val="005E5D4F"/>
    <w:rsid w:val="005E6A6C"/>
    <w:rsid w:val="005F02B9"/>
    <w:rsid w:val="005F071B"/>
    <w:rsid w:val="005F21F1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7A4"/>
    <w:rsid w:val="00610359"/>
    <w:rsid w:val="006112AF"/>
    <w:rsid w:val="006114FE"/>
    <w:rsid w:val="00611566"/>
    <w:rsid w:val="00611F13"/>
    <w:rsid w:val="00613340"/>
    <w:rsid w:val="006143D1"/>
    <w:rsid w:val="00614EE6"/>
    <w:rsid w:val="00615076"/>
    <w:rsid w:val="00615B03"/>
    <w:rsid w:val="00615CCD"/>
    <w:rsid w:val="006177A0"/>
    <w:rsid w:val="00617D23"/>
    <w:rsid w:val="00621140"/>
    <w:rsid w:val="006211DA"/>
    <w:rsid w:val="00621371"/>
    <w:rsid w:val="00623713"/>
    <w:rsid w:val="00623A25"/>
    <w:rsid w:val="0062480B"/>
    <w:rsid w:val="006250A5"/>
    <w:rsid w:val="006254F4"/>
    <w:rsid w:val="00626696"/>
    <w:rsid w:val="0062739F"/>
    <w:rsid w:val="00631DBD"/>
    <w:rsid w:val="00632222"/>
    <w:rsid w:val="00633FF0"/>
    <w:rsid w:val="006344B8"/>
    <w:rsid w:val="00635F47"/>
    <w:rsid w:val="006365BD"/>
    <w:rsid w:val="00637E48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764"/>
    <w:rsid w:val="00660C3A"/>
    <w:rsid w:val="006616ED"/>
    <w:rsid w:val="00662592"/>
    <w:rsid w:val="0066344B"/>
    <w:rsid w:val="006645DE"/>
    <w:rsid w:val="00665BE7"/>
    <w:rsid w:val="00666483"/>
    <w:rsid w:val="00666DD5"/>
    <w:rsid w:val="006678B0"/>
    <w:rsid w:val="00667AA2"/>
    <w:rsid w:val="00670013"/>
    <w:rsid w:val="00670FA9"/>
    <w:rsid w:val="00672E6C"/>
    <w:rsid w:val="006731E0"/>
    <w:rsid w:val="006762DC"/>
    <w:rsid w:val="0068064C"/>
    <w:rsid w:val="00680C10"/>
    <w:rsid w:val="00681379"/>
    <w:rsid w:val="006819F6"/>
    <w:rsid w:val="006829F2"/>
    <w:rsid w:val="00682D58"/>
    <w:rsid w:val="00684425"/>
    <w:rsid w:val="006856CF"/>
    <w:rsid w:val="0068681F"/>
    <w:rsid w:val="0068738A"/>
    <w:rsid w:val="006901D6"/>
    <w:rsid w:val="00690205"/>
    <w:rsid w:val="006926BA"/>
    <w:rsid w:val="00692FC3"/>
    <w:rsid w:val="00693373"/>
    <w:rsid w:val="00694012"/>
    <w:rsid w:val="00694D2A"/>
    <w:rsid w:val="006965CD"/>
    <w:rsid w:val="00696DF2"/>
    <w:rsid w:val="006977C6"/>
    <w:rsid w:val="00697858"/>
    <w:rsid w:val="006A1436"/>
    <w:rsid w:val="006A180F"/>
    <w:rsid w:val="006A334F"/>
    <w:rsid w:val="006A456D"/>
    <w:rsid w:val="006A5153"/>
    <w:rsid w:val="006A5209"/>
    <w:rsid w:val="006A54BE"/>
    <w:rsid w:val="006A5837"/>
    <w:rsid w:val="006A6944"/>
    <w:rsid w:val="006B0254"/>
    <w:rsid w:val="006B4D84"/>
    <w:rsid w:val="006B605E"/>
    <w:rsid w:val="006B6466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D09"/>
    <w:rsid w:val="006F0EE0"/>
    <w:rsid w:val="006F1C88"/>
    <w:rsid w:val="006F25E4"/>
    <w:rsid w:val="006F32EA"/>
    <w:rsid w:val="006F3ADE"/>
    <w:rsid w:val="006F47F6"/>
    <w:rsid w:val="006F5187"/>
    <w:rsid w:val="006F5D11"/>
    <w:rsid w:val="006F6A2C"/>
    <w:rsid w:val="006F6E95"/>
    <w:rsid w:val="006F78E6"/>
    <w:rsid w:val="00700CF7"/>
    <w:rsid w:val="00702AAA"/>
    <w:rsid w:val="00702F97"/>
    <w:rsid w:val="00704C10"/>
    <w:rsid w:val="00705A59"/>
    <w:rsid w:val="00705D88"/>
    <w:rsid w:val="00710201"/>
    <w:rsid w:val="0071066B"/>
    <w:rsid w:val="00713611"/>
    <w:rsid w:val="00715050"/>
    <w:rsid w:val="00715F4F"/>
    <w:rsid w:val="0071612B"/>
    <w:rsid w:val="00716280"/>
    <w:rsid w:val="0071689E"/>
    <w:rsid w:val="00717A1C"/>
    <w:rsid w:val="0072014D"/>
    <w:rsid w:val="00721218"/>
    <w:rsid w:val="00721FCB"/>
    <w:rsid w:val="00723E91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1043"/>
    <w:rsid w:val="007636D3"/>
    <w:rsid w:val="007658B7"/>
    <w:rsid w:val="007665C4"/>
    <w:rsid w:val="00766A4F"/>
    <w:rsid w:val="0076792F"/>
    <w:rsid w:val="0076795C"/>
    <w:rsid w:val="00771416"/>
    <w:rsid w:val="0077195B"/>
    <w:rsid w:val="00771BCD"/>
    <w:rsid w:val="00773ACB"/>
    <w:rsid w:val="00776516"/>
    <w:rsid w:val="00776C2C"/>
    <w:rsid w:val="0077721F"/>
    <w:rsid w:val="007811A2"/>
    <w:rsid w:val="00781F0F"/>
    <w:rsid w:val="0078206E"/>
    <w:rsid w:val="00782C71"/>
    <w:rsid w:val="00783AE8"/>
    <w:rsid w:val="00783E27"/>
    <w:rsid w:val="0078448D"/>
    <w:rsid w:val="007846F6"/>
    <w:rsid w:val="007851AB"/>
    <w:rsid w:val="00785DE8"/>
    <w:rsid w:val="00785EC6"/>
    <w:rsid w:val="00786052"/>
    <w:rsid w:val="00786A8D"/>
    <w:rsid w:val="00786DED"/>
    <w:rsid w:val="0078727C"/>
    <w:rsid w:val="00787E4E"/>
    <w:rsid w:val="0079049D"/>
    <w:rsid w:val="007904EC"/>
    <w:rsid w:val="00790F4C"/>
    <w:rsid w:val="00793504"/>
    <w:rsid w:val="00793A53"/>
    <w:rsid w:val="00793CCC"/>
    <w:rsid w:val="00793E48"/>
    <w:rsid w:val="00794590"/>
    <w:rsid w:val="0079664E"/>
    <w:rsid w:val="00797A20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8D8"/>
    <w:rsid w:val="007B30D3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78F"/>
    <w:rsid w:val="007C4A37"/>
    <w:rsid w:val="007C603F"/>
    <w:rsid w:val="007C67D2"/>
    <w:rsid w:val="007C77C4"/>
    <w:rsid w:val="007D107C"/>
    <w:rsid w:val="007D1FD5"/>
    <w:rsid w:val="007D309E"/>
    <w:rsid w:val="007D3480"/>
    <w:rsid w:val="007D40D6"/>
    <w:rsid w:val="007D4B38"/>
    <w:rsid w:val="007D5BED"/>
    <w:rsid w:val="007D5EF6"/>
    <w:rsid w:val="007D692E"/>
    <w:rsid w:val="007D7D25"/>
    <w:rsid w:val="007E0F38"/>
    <w:rsid w:val="007E3A91"/>
    <w:rsid w:val="007E4556"/>
    <w:rsid w:val="007E457A"/>
    <w:rsid w:val="007E515A"/>
    <w:rsid w:val="007F01E1"/>
    <w:rsid w:val="007F04EE"/>
    <w:rsid w:val="007F14AD"/>
    <w:rsid w:val="007F31EB"/>
    <w:rsid w:val="007F448E"/>
    <w:rsid w:val="007F7268"/>
    <w:rsid w:val="007F7342"/>
    <w:rsid w:val="00800D57"/>
    <w:rsid w:val="008028A4"/>
    <w:rsid w:val="0080333D"/>
    <w:rsid w:val="00804321"/>
    <w:rsid w:val="00805E0B"/>
    <w:rsid w:val="00806310"/>
    <w:rsid w:val="00812B0C"/>
    <w:rsid w:val="00813245"/>
    <w:rsid w:val="0081363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3C42"/>
    <w:rsid w:val="008343D1"/>
    <w:rsid w:val="00834604"/>
    <w:rsid w:val="00834A6D"/>
    <w:rsid w:val="00845E80"/>
    <w:rsid w:val="008461F0"/>
    <w:rsid w:val="0084763A"/>
    <w:rsid w:val="00850942"/>
    <w:rsid w:val="00850BBB"/>
    <w:rsid w:val="00854A4F"/>
    <w:rsid w:val="008555AC"/>
    <w:rsid w:val="00856127"/>
    <w:rsid w:val="0085698E"/>
    <w:rsid w:val="008571AD"/>
    <w:rsid w:val="00857756"/>
    <w:rsid w:val="00860820"/>
    <w:rsid w:val="00860D01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B1C"/>
    <w:rsid w:val="00893663"/>
    <w:rsid w:val="00894069"/>
    <w:rsid w:val="00895302"/>
    <w:rsid w:val="00895EAC"/>
    <w:rsid w:val="008A07BA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7888"/>
    <w:rsid w:val="008D0069"/>
    <w:rsid w:val="008D039A"/>
    <w:rsid w:val="008D05CE"/>
    <w:rsid w:val="008D0839"/>
    <w:rsid w:val="008D196B"/>
    <w:rsid w:val="008D1CD5"/>
    <w:rsid w:val="008D2258"/>
    <w:rsid w:val="008D2B8C"/>
    <w:rsid w:val="008D467A"/>
    <w:rsid w:val="008D5BDF"/>
    <w:rsid w:val="008E131E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5153"/>
    <w:rsid w:val="008F595B"/>
    <w:rsid w:val="00901335"/>
    <w:rsid w:val="0090187C"/>
    <w:rsid w:val="009024E8"/>
    <w:rsid w:val="0090271F"/>
    <w:rsid w:val="00902DB9"/>
    <w:rsid w:val="0090466A"/>
    <w:rsid w:val="0090493A"/>
    <w:rsid w:val="00905065"/>
    <w:rsid w:val="009062D3"/>
    <w:rsid w:val="00907DD2"/>
    <w:rsid w:val="009117E5"/>
    <w:rsid w:val="00911A3A"/>
    <w:rsid w:val="00911DEA"/>
    <w:rsid w:val="00912CD4"/>
    <w:rsid w:val="00914089"/>
    <w:rsid w:val="00917ABE"/>
    <w:rsid w:val="0092024A"/>
    <w:rsid w:val="00921F58"/>
    <w:rsid w:val="00922DC1"/>
    <w:rsid w:val="0092322B"/>
    <w:rsid w:val="00923CF4"/>
    <w:rsid w:val="00924D2C"/>
    <w:rsid w:val="009252BA"/>
    <w:rsid w:val="0092657D"/>
    <w:rsid w:val="009307BE"/>
    <w:rsid w:val="00931360"/>
    <w:rsid w:val="00931AF4"/>
    <w:rsid w:val="00933406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40CA"/>
    <w:rsid w:val="009553D1"/>
    <w:rsid w:val="00955470"/>
    <w:rsid w:val="00956A9D"/>
    <w:rsid w:val="00957D2B"/>
    <w:rsid w:val="00957E6F"/>
    <w:rsid w:val="00961B32"/>
    <w:rsid w:val="00962174"/>
    <w:rsid w:val="0096224D"/>
    <w:rsid w:val="0096246C"/>
    <w:rsid w:val="0096294B"/>
    <w:rsid w:val="0096408F"/>
    <w:rsid w:val="00964344"/>
    <w:rsid w:val="009648F8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D3A"/>
    <w:rsid w:val="00993C96"/>
    <w:rsid w:val="00993EBD"/>
    <w:rsid w:val="009951D6"/>
    <w:rsid w:val="00995433"/>
    <w:rsid w:val="00995C57"/>
    <w:rsid w:val="00996146"/>
    <w:rsid w:val="009A0AF3"/>
    <w:rsid w:val="009A1A7C"/>
    <w:rsid w:val="009A1E95"/>
    <w:rsid w:val="009A2662"/>
    <w:rsid w:val="009A36A2"/>
    <w:rsid w:val="009A443C"/>
    <w:rsid w:val="009A50C5"/>
    <w:rsid w:val="009A560E"/>
    <w:rsid w:val="009A68CD"/>
    <w:rsid w:val="009A7362"/>
    <w:rsid w:val="009A7D57"/>
    <w:rsid w:val="009A7F1A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68"/>
    <w:rsid w:val="009D5E99"/>
    <w:rsid w:val="009D63AB"/>
    <w:rsid w:val="009D7755"/>
    <w:rsid w:val="009E02F3"/>
    <w:rsid w:val="009E079A"/>
    <w:rsid w:val="009E1A17"/>
    <w:rsid w:val="009E2AA6"/>
    <w:rsid w:val="009E3C02"/>
    <w:rsid w:val="009E3D1A"/>
    <w:rsid w:val="009E44ED"/>
    <w:rsid w:val="009E6405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3201"/>
    <w:rsid w:val="00A03B42"/>
    <w:rsid w:val="00A03F68"/>
    <w:rsid w:val="00A05DE2"/>
    <w:rsid w:val="00A067FE"/>
    <w:rsid w:val="00A10F02"/>
    <w:rsid w:val="00A11888"/>
    <w:rsid w:val="00A13112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5155E"/>
    <w:rsid w:val="00A516F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60A82"/>
    <w:rsid w:val="00A612CF"/>
    <w:rsid w:val="00A62BFC"/>
    <w:rsid w:val="00A62CAD"/>
    <w:rsid w:val="00A6496B"/>
    <w:rsid w:val="00A65425"/>
    <w:rsid w:val="00A65C1F"/>
    <w:rsid w:val="00A66294"/>
    <w:rsid w:val="00A66990"/>
    <w:rsid w:val="00A71855"/>
    <w:rsid w:val="00A718DA"/>
    <w:rsid w:val="00A7247E"/>
    <w:rsid w:val="00A73886"/>
    <w:rsid w:val="00A743AC"/>
    <w:rsid w:val="00A7467C"/>
    <w:rsid w:val="00A74826"/>
    <w:rsid w:val="00A74C06"/>
    <w:rsid w:val="00A75305"/>
    <w:rsid w:val="00A753E1"/>
    <w:rsid w:val="00A77F59"/>
    <w:rsid w:val="00A80334"/>
    <w:rsid w:val="00A80AEF"/>
    <w:rsid w:val="00A82346"/>
    <w:rsid w:val="00A825BF"/>
    <w:rsid w:val="00A845B8"/>
    <w:rsid w:val="00A85BB3"/>
    <w:rsid w:val="00A87209"/>
    <w:rsid w:val="00A87977"/>
    <w:rsid w:val="00A954D8"/>
    <w:rsid w:val="00A9671C"/>
    <w:rsid w:val="00A9769E"/>
    <w:rsid w:val="00A97749"/>
    <w:rsid w:val="00AA1553"/>
    <w:rsid w:val="00AA38E9"/>
    <w:rsid w:val="00AA423E"/>
    <w:rsid w:val="00AA427E"/>
    <w:rsid w:val="00AA4494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C6A7A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1A9A"/>
    <w:rsid w:val="00AE26C0"/>
    <w:rsid w:val="00AE32B8"/>
    <w:rsid w:val="00AE35AC"/>
    <w:rsid w:val="00AE4A32"/>
    <w:rsid w:val="00AE5998"/>
    <w:rsid w:val="00AE5A3F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6272"/>
    <w:rsid w:val="00B002EA"/>
    <w:rsid w:val="00B0205B"/>
    <w:rsid w:val="00B024E5"/>
    <w:rsid w:val="00B033FA"/>
    <w:rsid w:val="00B0343F"/>
    <w:rsid w:val="00B046A0"/>
    <w:rsid w:val="00B0648D"/>
    <w:rsid w:val="00B07AAA"/>
    <w:rsid w:val="00B10754"/>
    <w:rsid w:val="00B1153A"/>
    <w:rsid w:val="00B11743"/>
    <w:rsid w:val="00B1192D"/>
    <w:rsid w:val="00B11CB0"/>
    <w:rsid w:val="00B12BDF"/>
    <w:rsid w:val="00B15449"/>
    <w:rsid w:val="00B154C9"/>
    <w:rsid w:val="00B15627"/>
    <w:rsid w:val="00B15ADA"/>
    <w:rsid w:val="00B1608D"/>
    <w:rsid w:val="00B1608F"/>
    <w:rsid w:val="00B22EC6"/>
    <w:rsid w:val="00B2397F"/>
    <w:rsid w:val="00B2470F"/>
    <w:rsid w:val="00B2755F"/>
    <w:rsid w:val="00B27EC4"/>
    <w:rsid w:val="00B30ADA"/>
    <w:rsid w:val="00B3285A"/>
    <w:rsid w:val="00B331AE"/>
    <w:rsid w:val="00B359B7"/>
    <w:rsid w:val="00B36BDD"/>
    <w:rsid w:val="00B40C67"/>
    <w:rsid w:val="00B42667"/>
    <w:rsid w:val="00B444B8"/>
    <w:rsid w:val="00B44F40"/>
    <w:rsid w:val="00B4746E"/>
    <w:rsid w:val="00B47CB2"/>
    <w:rsid w:val="00B47FD1"/>
    <w:rsid w:val="00B516BB"/>
    <w:rsid w:val="00B51B0A"/>
    <w:rsid w:val="00B5205D"/>
    <w:rsid w:val="00B54665"/>
    <w:rsid w:val="00B548D7"/>
    <w:rsid w:val="00B61417"/>
    <w:rsid w:val="00B62989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CC9"/>
    <w:rsid w:val="00B73D0C"/>
    <w:rsid w:val="00B74842"/>
    <w:rsid w:val="00B751DC"/>
    <w:rsid w:val="00B761C5"/>
    <w:rsid w:val="00B76F24"/>
    <w:rsid w:val="00B8019B"/>
    <w:rsid w:val="00B82DD7"/>
    <w:rsid w:val="00B83F61"/>
    <w:rsid w:val="00B83F9A"/>
    <w:rsid w:val="00B844A5"/>
    <w:rsid w:val="00B8480F"/>
    <w:rsid w:val="00B8493D"/>
    <w:rsid w:val="00B84B18"/>
    <w:rsid w:val="00B8570C"/>
    <w:rsid w:val="00B86A6B"/>
    <w:rsid w:val="00B8739B"/>
    <w:rsid w:val="00B912B1"/>
    <w:rsid w:val="00B93581"/>
    <w:rsid w:val="00B95D11"/>
    <w:rsid w:val="00B96CCF"/>
    <w:rsid w:val="00B97C4B"/>
    <w:rsid w:val="00B97C71"/>
    <w:rsid w:val="00B97CBC"/>
    <w:rsid w:val="00BA2ABC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7783"/>
    <w:rsid w:val="00BD06D1"/>
    <w:rsid w:val="00BD091C"/>
    <w:rsid w:val="00BD1616"/>
    <w:rsid w:val="00BD1631"/>
    <w:rsid w:val="00BD31D3"/>
    <w:rsid w:val="00BD55FC"/>
    <w:rsid w:val="00BD6273"/>
    <w:rsid w:val="00BD67B1"/>
    <w:rsid w:val="00BE1D51"/>
    <w:rsid w:val="00BE3836"/>
    <w:rsid w:val="00BE5261"/>
    <w:rsid w:val="00BE664B"/>
    <w:rsid w:val="00BE7500"/>
    <w:rsid w:val="00BE7B3F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3D2D"/>
    <w:rsid w:val="00C042E6"/>
    <w:rsid w:val="00C07B22"/>
    <w:rsid w:val="00C07D96"/>
    <w:rsid w:val="00C10DF1"/>
    <w:rsid w:val="00C11801"/>
    <w:rsid w:val="00C12B51"/>
    <w:rsid w:val="00C13DC1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5C7"/>
    <w:rsid w:val="00C23FA7"/>
    <w:rsid w:val="00C24650"/>
    <w:rsid w:val="00C2597A"/>
    <w:rsid w:val="00C25AAF"/>
    <w:rsid w:val="00C269A3"/>
    <w:rsid w:val="00C2702C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7FDE"/>
    <w:rsid w:val="00C4025B"/>
    <w:rsid w:val="00C41500"/>
    <w:rsid w:val="00C42782"/>
    <w:rsid w:val="00C43926"/>
    <w:rsid w:val="00C4443E"/>
    <w:rsid w:val="00C465BE"/>
    <w:rsid w:val="00C47A66"/>
    <w:rsid w:val="00C47D2D"/>
    <w:rsid w:val="00C47F3D"/>
    <w:rsid w:val="00C51D27"/>
    <w:rsid w:val="00C54E61"/>
    <w:rsid w:val="00C54EE4"/>
    <w:rsid w:val="00C556FB"/>
    <w:rsid w:val="00C614CA"/>
    <w:rsid w:val="00C614FA"/>
    <w:rsid w:val="00C617B6"/>
    <w:rsid w:val="00C62547"/>
    <w:rsid w:val="00C6309C"/>
    <w:rsid w:val="00C63220"/>
    <w:rsid w:val="00C6391F"/>
    <w:rsid w:val="00C64E2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61"/>
    <w:rsid w:val="00C8235D"/>
    <w:rsid w:val="00C8253A"/>
    <w:rsid w:val="00C8368A"/>
    <w:rsid w:val="00C83A13"/>
    <w:rsid w:val="00C844E3"/>
    <w:rsid w:val="00C9022A"/>
    <w:rsid w:val="00C903F3"/>
    <w:rsid w:val="00C9068C"/>
    <w:rsid w:val="00C91051"/>
    <w:rsid w:val="00C9285D"/>
    <w:rsid w:val="00C92967"/>
    <w:rsid w:val="00C9499A"/>
    <w:rsid w:val="00C97DD9"/>
    <w:rsid w:val="00CA061E"/>
    <w:rsid w:val="00CA0C6F"/>
    <w:rsid w:val="00CA160C"/>
    <w:rsid w:val="00CA39A8"/>
    <w:rsid w:val="00CA3A67"/>
    <w:rsid w:val="00CA3D0C"/>
    <w:rsid w:val="00CA4CC4"/>
    <w:rsid w:val="00CA55A2"/>
    <w:rsid w:val="00CA6073"/>
    <w:rsid w:val="00CA60FE"/>
    <w:rsid w:val="00CA654B"/>
    <w:rsid w:val="00CA742A"/>
    <w:rsid w:val="00CA7FB5"/>
    <w:rsid w:val="00CB1831"/>
    <w:rsid w:val="00CB192D"/>
    <w:rsid w:val="00CB20EE"/>
    <w:rsid w:val="00CB24EA"/>
    <w:rsid w:val="00CB474B"/>
    <w:rsid w:val="00CB6655"/>
    <w:rsid w:val="00CC012E"/>
    <w:rsid w:val="00CC05BA"/>
    <w:rsid w:val="00CC365E"/>
    <w:rsid w:val="00CD0243"/>
    <w:rsid w:val="00CD1CFE"/>
    <w:rsid w:val="00CD3E58"/>
    <w:rsid w:val="00CD4A61"/>
    <w:rsid w:val="00CD4C7B"/>
    <w:rsid w:val="00CD6310"/>
    <w:rsid w:val="00CD6435"/>
    <w:rsid w:val="00CE054B"/>
    <w:rsid w:val="00CE1698"/>
    <w:rsid w:val="00CE3213"/>
    <w:rsid w:val="00CE3BD1"/>
    <w:rsid w:val="00CE3E5A"/>
    <w:rsid w:val="00CE44E7"/>
    <w:rsid w:val="00CE476C"/>
    <w:rsid w:val="00CE4C6B"/>
    <w:rsid w:val="00CE67EE"/>
    <w:rsid w:val="00CF07F5"/>
    <w:rsid w:val="00CF2C9F"/>
    <w:rsid w:val="00CF5B76"/>
    <w:rsid w:val="00CF77AE"/>
    <w:rsid w:val="00D00174"/>
    <w:rsid w:val="00D04103"/>
    <w:rsid w:val="00D048E7"/>
    <w:rsid w:val="00D05C9E"/>
    <w:rsid w:val="00D10543"/>
    <w:rsid w:val="00D133BA"/>
    <w:rsid w:val="00D13DB0"/>
    <w:rsid w:val="00D17528"/>
    <w:rsid w:val="00D20104"/>
    <w:rsid w:val="00D20E7D"/>
    <w:rsid w:val="00D23786"/>
    <w:rsid w:val="00D23DA6"/>
    <w:rsid w:val="00D247B5"/>
    <w:rsid w:val="00D24CC5"/>
    <w:rsid w:val="00D269D7"/>
    <w:rsid w:val="00D26AA2"/>
    <w:rsid w:val="00D27E3D"/>
    <w:rsid w:val="00D3258F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67F"/>
    <w:rsid w:val="00D450E9"/>
    <w:rsid w:val="00D50FAB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33A"/>
    <w:rsid w:val="00D66F34"/>
    <w:rsid w:val="00D67096"/>
    <w:rsid w:val="00D679C7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5EB"/>
    <w:rsid w:val="00D8292C"/>
    <w:rsid w:val="00D840F9"/>
    <w:rsid w:val="00D8668E"/>
    <w:rsid w:val="00D8694E"/>
    <w:rsid w:val="00D870B2"/>
    <w:rsid w:val="00D87A08"/>
    <w:rsid w:val="00D87E00"/>
    <w:rsid w:val="00D9134D"/>
    <w:rsid w:val="00D91BCA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36F4"/>
    <w:rsid w:val="00DD43BA"/>
    <w:rsid w:val="00DD5BF0"/>
    <w:rsid w:val="00DD6F88"/>
    <w:rsid w:val="00DD70FA"/>
    <w:rsid w:val="00DD722F"/>
    <w:rsid w:val="00DE0D91"/>
    <w:rsid w:val="00DE17D1"/>
    <w:rsid w:val="00DE44B0"/>
    <w:rsid w:val="00DE4A98"/>
    <w:rsid w:val="00DE56A5"/>
    <w:rsid w:val="00DE63F7"/>
    <w:rsid w:val="00DE6DD1"/>
    <w:rsid w:val="00DF0433"/>
    <w:rsid w:val="00DF08B7"/>
    <w:rsid w:val="00DF0C8E"/>
    <w:rsid w:val="00DF2582"/>
    <w:rsid w:val="00DF2B7B"/>
    <w:rsid w:val="00DF5B0C"/>
    <w:rsid w:val="00E01445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2543"/>
    <w:rsid w:val="00E12C7B"/>
    <w:rsid w:val="00E157BC"/>
    <w:rsid w:val="00E16F4B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2A54"/>
    <w:rsid w:val="00E33147"/>
    <w:rsid w:val="00E3345D"/>
    <w:rsid w:val="00E34168"/>
    <w:rsid w:val="00E35793"/>
    <w:rsid w:val="00E36407"/>
    <w:rsid w:val="00E4026E"/>
    <w:rsid w:val="00E40E41"/>
    <w:rsid w:val="00E42D93"/>
    <w:rsid w:val="00E432B8"/>
    <w:rsid w:val="00E44449"/>
    <w:rsid w:val="00E448A1"/>
    <w:rsid w:val="00E45328"/>
    <w:rsid w:val="00E4673B"/>
    <w:rsid w:val="00E50281"/>
    <w:rsid w:val="00E50F6F"/>
    <w:rsid w:val="00E51DC4"/>
    <w:rsid w:val="00E528F3"/>
    <w:rsid w:val="00E539D7"/>
    <w:rsid w:val="00E53CCB"/>
    <w:rsid w:val="00E54361"/>
    <w:rsid w:val="00E546AB"/>
    <w:rsid w:val="00E56EEF"/>
    <w:rsid w:val="00E57D18"/>
    <w:rsid w:val="00E60CAF"/>
    <w:rsid w:val="00E61B39"/>
    <w:rsid w:val="00E62835"/>
    <w:rsid w:val="00E62D5D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1487"/>
    <w:rsid w:val="00E91DDC"/>
    <w:rsid w:val="00E925C9"/>
    <w:rsid w:val="00E9444B"/>
    <w:rsid w:val="00E94C85"/>
    <w:rsid w:val="00E95F7D"/>
    <w:rsid w:val="00E96358"/>
    <w:rsid w:val="00EA0AAF"/>
    <w:rsid w:val="00EA1745"/>
    <w:rsid w:val="00EA1DC3"/>
    <w:rsid w:val="00EA1ED6"/>
    <w:rsid w:val="00EA346E"/>
    <w:rsid w:val="00EA6CB4"/>
    <w:rsid w:val="00EB28EE"/>
    <w:rsid w:val="00EB2AF5"/>
    <w:rsid w:val="00EB4566"/>
    <w:rsid w:val="00EB4E5D"/>
    <w:rsid w:val="00EB564C"/>
    <w:rsid w:val="00EB6A60"/>
    <w:rsid w:val="00EB7699"/>
    <w:rsid w:val="00EC0A52"/>
    <w:rsid w:val="00EC2DF5"/>
    <w:rsid w:val="00EC39EB"/>
    <w:rsid w:val="00EC44C4"/>
    <w:rsid w:val="00EC464F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33E0"/>
    <w:rsid w:val="00ED43A5"/>
    <w:rsid w:val="00ED71CC"/>
    <w:rsid w:val="00EE0E6E"/>
    <w:rsid w:val="00EE13CF"/>
    <w:rsid w:val="00EE14FA"/>
    <w:rsid w:val="00EE1512"/>
    <w:rsid w:val="00EE217F"/>
    <w:rsid w:val="00EE4120"/>
    <w:rsid w:val="00EE44AD"/>
    <w:rsid w:val="00EE4F4E"/>
    <w:rsid w:val="00EE7D61"/>
    <w:rsid w:val="00EF0219"/>
    <w:rsid w:val="00EF1E0A"/>
    <w:rsid w:val="00EF267F"/>
    <w:rsid w:val="00EF2F1F"/>
    <w:rsid w:val="00EF3F83"/>
    <w:rsid w:val="00EF4E32"/>
    <w:rsid w:val="00EF550E"/>
    <w:rsid w:val="00EF5820"/>
    <w:rsid w:val="00F025A2"/>
    <w:rsid w:val="00F04C08"/>
    <w:rsid w:val="00F04C45"/>
    <w:rsid w:val="00F054BA"/>
    <w:rsid w:val="00F05D71"/>
    <w:rsid w:val="00F06BBB"/>
    <w:rsid w:val="00F06F0B"/>
    <w:rsid w:val="00F07388"/>
    <w:rsid w:val="00F07FD6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31F"/>
    <w:rsid w:val="00F52DBE"/>
    <w:rsid w:val="00F53AAD"/>
    <w:rsid w:val="00F5490A"/>
    <w:rsid w:val="00F54A3D"/>
    <w:rsid w:val="00F54F7D"/>
    <w:rsid w:val="00F556B9"/>
    <w:rsid w:val="00F57BF9"/>
    <w:rsid w:val="00F61CE2"/>
    <w:rsid w:val="00F62456"/>
    <w:rsid w:val="00F64C8F"/>
    <w:rsid w:val="00F653B8"/>
    <w:rsid w:val="00F66E5B"/>
    <w:rsid w:val="00F705E6"/>
    <w:rsid w:val="00F70B51"/>
    <w:rsid w:val="00F71B89"/>
    <w:rsid w:val="00F7353C"/>
    <w:rsid w:val="00F75B5F"/>
    <w:rsid w:val="00F76050"/>
    <w:rsid w:val="00F76752"/>
    <w:rsid w:val="00F76A28"/>
    <w:rsid w:val="00F76F8F"/>
    <w:rsid w:val="00F777E4"/>
    <w:rsid w:val="00F80586"/>
    <w:rsid w:val="00F80C4B"/>
    <w:rsid w:val="00F80F72"/>
    <w:rsid w:val="00F81496"/>
    <w:rsid w:val="00F8151C"/>
    <w:rsid w:val="00F83135"/>
    <w:rsid w:val="00F83431"/>
    <w:rsid w:val="00F84AD1"/>
    <w:rsid w:val="00F8529B"/>
    <w:rsid w:val="00F8570F"/>
    <w:rsid w:val="00F8639A"/>
    <w:rsid w:val="00F941A4"/>
    <w:rsid w:val="00F97D6E"/>
    <w:rsid w:val="00FA0274"/>
    <w:rsid w:val="00FA0D44"/>
    <w:rsid w:val="00FA0E97"/>
    <w:rsid w:val="00FA1266"/>
    <w:rsid w:val="00FA1C5C"/>
    <w:rsid w:val="00FA2EA8"/>
    <w:rsid w:val="00FA42CD"/>
    <w:rsid w:val="00FA4BA7"/>
    <w:rsid w:val="00FA61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C0B77"/>
    <w:rsid w:val="00FC1192"/>
    <w:rsid w:val="00FC11D2"/>
    <w:rsid w:val="00FC2E31"/>
    <w:rsid w:val="00FC40D3"/>
    <w:rsid w:val="00FC5133"/>
    <w:rsid w:val="00FC77D8"/>
    <w:rsid w:val="00FD03E5"/>
    <w:rsid w:val="00FD1FA7"/>
    <w:rsid w:val="00FD2CBF"/>
    <w:rsid w:val="00FD4EDD"/>
    <w:rsid w:val="00FE0DB2"/>
    <w:rsid w:val="00FE1DEE"/>
    <w:rsid w:val="00FE2BAC"/>
    <w:rsid w:val="00FE33D3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5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</cp:lastModifiedBy>
  <cp:revision>4</cp:revision>
  <dcterms:created xsi:type="dcterms:W3CDTF">2023-05-11T18:19:00Z</dcterms:created>
  <dcterms:modified xsi:type="dcterms:W3CDTF">2023-05-11T18:24:00Z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